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220" w:lineRule="atLeast"/>
        <w:jc w:val="center"/>
        <w:rPr>
          <w:rFonts w:hint="eastAsia" w:asciiTheme="majorEastAsia" w:hAnsiTheme="majorEastAsia" w:eastAsiaTheme="majorEastAsia"/>
          <w:sz w:val="32"/>
          <w:szCs w:val="32"/>
          <w:lang w:eastAsia="zh-CN"/>
        </w:rPr>
      </w:pPr>
      <w:r>
        <w:rPr>
          <w:rFonts w:hint="eastAsia" w:asciiTheme="majorEastAsia" w:hAnsiTheme="majorEastAsia" w:eastAsiaTheme="majorEastAsia"/>
          <w:sz w:val="32"/>
          <w:szCs w:val="32"/>
          <w:lang w:eastAsia="zh-CN"/>
        </w:rPr>
        <w:t>基于因子分析的港口绩效研究</w:t>
      </w:r>
    </w:p>
    <w:p>
      <w:pPr>
        <w:spacing w:line="220" w:lineRule="atLeast"/>
        <w:jc w:val="center"/>
        <w:rPr>
          <w:rFonts w:ascii="宋体" w:hAnsi="宋体" w:eastAsia="宋体" w:cs="Times New Roman"/>
          <w:sz w:val="21"/>
          <w:szCs w:val="21"/>
          <w:vertAlign w:val="superscript"/>
        </w:rPr>
      </w:pPr>
      <w:r>
        <w:rPr>
          <w:rFonts w:hint="eastAsia" w:ascii="宋体" w:hAnsi="宋体" w:eastAsia="宋体" w:cs="Times New Roman"/>
          <w:sz w:val="21"/>
          <w:szCs w:val="21"/>
        </w:rPr>
        <w:t>陶永宏</w:t>
      </w:r>
      <w:r>
        <w:rPr>
          <w:rStyle w:val="10"/>
          <w:rFonts w:ascii="宋体" w:hAnsi="宋体" w:eastAsia="宋体" w:cs="Times New Roman"/>
          <w:sz w:val="21"/>
          <w:szCs w:val="21"/>
        </w:rPr>
        <w:footnoteReference w:id="0"/>
      </w:r>
      <w:r>
        <w:rPr>
          <w:rFonts w:hint="eastAsia" w:ascii="宋体" w:hAnsi="宋体" w:eastAsia="宋体" w:cs="Times New Roman"/>
          <w:sz w:val="21"/>
          <w:szCs w:val="21"/>
        </w:rPr>
        <w:t>，丁彩虹</w:t>
      </w:r>
      <w:r>
        <w:rPr>
          <w:rFonts w:hint="eastAsia" w:ascii="宋体" w:hAnsi="宋体" w:eastAsia="宋体" w:cs="Times New Roman"/>
          <w:sz w:val="21"/>
          <w:szCs w:val="21"/>
          <w:vertAlign w:val="superscript"/>
        </w:rPr>
        <w:t>1</w:t>
      </w:r>
    </w:p>
    <w:p>
      <w:pPr>
        <w:spacing w:line="220" w:lineRule="atLeast"/>
        <w:jc w:val="center"/>
        <w:rPr>
          <w:rFonts w:ascii="宋体" w:hAnsi="宋体" w:eastAsia="宋体" w:cs="Times New Roman"/>
          <w:sz w:val="21"/>
          <w:szCs w:val="21"/>
        </w:rPr>
      </w:pPr>
      <w:r>
        <w:rPr>
          <w:rFonts w:hint="eastAsia" w:ascii="宋体" w:hAnsi="宋体" w:eastAsia="宋体" w:cs="Times New Roman"/>
          <w:sz w:val="21"/>
          <w:szCs w:val="21"/>
        </w:rPr>
        <w:t>（</w:t>
      </w:r>
      <w:r>
        <w:rPr>
          <w:rFonts w:hint="eastAsia" w:ascii="宋体" w:hAnsi="宋体" w:eastAsia="宋体" w:cs="Times New Roman"/>
          <w:sz w:val="18"/>
          <w:szCs w:val="18"/>
        </w:rPr>
        <w:t>江苏科技大学经济管理学院，镇江，212003</w:t>
      </w:r>
      <w:r>
        <w:rPr>
          <w:rFonts w:hint="eastAsia" w:ascii="宋体" w:hAnsi="宋体" w:eastAsia="宋体" w:cs="Times New Roman"/>
          <w:sz w:val="21"/>
          <w:szCs w:val="21"/>
        </w:rPr>
        <w:t>）</w:t>
      </w:r>
    </w:p>
    <w:p>
      <w:pPr>
        <w:spacing w:line="220" w:lineRule="atLeast"/>
        <w:jc w:val="center"/>
        <w:rPr>
          <w:rFonts w:ascii="Times New Roman" w:hAnsi="Times New Roman" w:eastAsia="宋体" w:cs="Times New Roman"/>
          <w:sz w:val="32"/>
          <w:szCs w:val="32"/>
        </w:rPr>
      </w:pPr>
      <w:r>
        <w:rPr>
          <w:rFonts w:hint="eastAsia" w:ascii="Times New Roman" w:hAnsi="Times New Roman" w:eastAsia="宋体" w:cs="Times New Roman"/>
          <w:sz w:val="32"/>
          <w:szCs w:val="32"/>
        </w:rPr>
        <w:t>Research on Port Performance Based on factor analysis</w:t>
      </w:r>
    </w:p>
    <w:p>
      <w:pPr>
        <w:spacing w:line="220" w:lineRule="atLeast"/>
        <w:jc w:val="center"/>
        <w:rPr>
          <w:rFonts w:ascii="Times New Roman" w:hAnsi="Times New Roman" w:eastAsia="宋体" w:cs="Times New Roman"/>
          <w:sz w:val="21"/>
          <w:szCs w:val="21"/>
        </w:rPr>
      </w:pPr>
      <w:r>
        <w:rPr>
          <w:rFonts w:ascii="Times New Roman" w:hAnsi="Times New Roman" w:eastAsia="宋体" w:cs="Times New Roman"/>
          <w:sz w:val="21"/>
          <w:szCs w:val="21"/>
        </w:rPr>
        <w:t xml:space="preserve">Tao Yonghong, Ding </w:t>
      </w:r>
      <w:r>
        <w:rPr>
          <w:rFonts w:hint="eastAsia" w:ascii="Times New Roman" w:hAnsi="Times New Roman" w:eastAsia="宋体" w:cs="Times New Roman"/>
          <w:sz w:val="21"/>
          <w:szCs w:val="21"/>
        </w:rPr>
        <w:t>C</w:t>
      </w:r>
      <w:r>
        <w:rPr>
          <w:rFonts w:ascii="Times New Roman" w:hAnsi="Times New Roman" w:eastAsia="宋体" w:cs="Times New Roman"/>
          <w:sz w:val="21"/>
          <w:szCs w:val="21"/>
        </w:rPr>
        <w:t>aihong</w:t>
      </w:r>
    </w:p>
    <w:p>
      <w:pPr>
        <w:spacing w:line="220" w:lineRule="atLeast"/>
        <w:jc w:val="center"/>
        <w:rPr>
          <w:rFonts w:ascii="Times New Roman" w:hAnsi="Times New Roman" w:eastAsia="宋体" w:cs="Times New Roman"/>
          <w:sz w:val="18"/>
          <w:szCs w:val="18"/>
        </w:rPr>
      </w:pPr>
      <w:r>
        <w:rPr>
          <w:rFonts w:ascii="Times New Roman" w:hAnsi="Times New Roman" w:eastAsia="宋体" w:cs="Times New Roman"/>
          <w:sz w:val="18"/>
          <w:szCs w:val="18"/>
        </w:rPr>
        <w:t>(</w:t>
      </w:r>
      <w:r>
        <w:rPr>
          <w:rFonts w:hint="eastAsia" w:ascii="Times New Roman" w:hAnsi="Times New Roman" w:cs="宋体"/>
          <w:sz w:val="18"/>
          <w:szCs w:val="18"/>
        </w:rPr>
        <w:t xml:space="preserve">School of Economics and Management, Jiangsu University of Science and Technology, </w:t>
      </w:r>
      <w:r>
        <w:rPr>
          <w:rFonts w:ascii="Times New Roman" w:hAnsi="Times New Roman" w:eastAsia="宋体" w:cs="Times New Roman"/>
          <w:sz w:val="18"/>
          <w:szCs w:val="18"/>
        </w:rPr>
        <w:t>Zhenjiang</w:t>
      </w:r>
      <w:r>
        <w:rPr>
          <w:rFonts w:hint="eastAsia" w:ascii="Times New Roman" w:hAnsi="宋体" w:eastAsia="宋体" w:cs="Times New Roman"/>
          <w:sz w:val="18"/>
          <w:szCs w:val="18"/>
        </w:rPr>
        <w:t xml:space="preserve">, </w:t>
      </w:r>
      <w:r>
        <w:rPr>
          <w:rFonts w:ascii="Times New Roman" w:hAnsi="Times New Roman" w:eastAsia="宋体" w:cs="Times New Roman"/>
          <w:sz w:val="18"/>
          <w:szCs w:val="18"/>
        </w:rPr>
        <w:t>212003)</w:t>
      </w:r>
    </w:p>
    <w:p>
      <w:pPr>
        <w:spacing w:after="0" w:line="400" w:lineRule="exact"/>
        <w:ind w:firstLine="422" w:firstLineChars="200"/>
        <w:rPr>
          <w:rFonts w:ascii="宋体" w:hAnsi="宋体" w:eastAsia="宋体" w:cs="Times New Roman"/>
          <w:sz w:val="21"/>
          <w:szCs w:val="21"/>
        </w:rPr>
      </w:pPr>
      <w:r>
        <w:rPr>
          <w:rFonts w:hint="eastAsia" w:cs="Times New Roman" w:asciiTheme="minorEastAsia" w:hAnsiTheme="minorEastAsia" w:eastAsiaTheme="minorEastAsia"/>
          <w:b/>
          <w:sz w:val="21"/>
          <w:szCs w:val="21"/>
        </w:rPr>
        <w:t>摘要</w:t>
      </w:r>
      <w:r>
        <w:rPr>
          <w:rFonts w:hint="eastAsia" w:ascii="宋体" w:hAnsi="宋体" w:eastAsia="宋体" w:cs="Times New Roman"/>
          <w:sz w:val="21"/>
          <w:szCs w:val="21"/>
        </w:rPr>
        <w:t>：采用因子分析对江苏省连云港港等6大亿吨级港口的绩效进行评价与实证研究。实证研究表明：长江经济带战略给江苏大型港口绩效提升带来裨益，各港口效率水平偏上，且处于上升态势；在剔除环境变量和随机因素后各港口的综合效率值稳中有升，规模效率呈现不变以及下降趋势；各港口在资源配置以及规模上需要进一步优化。</w:t>
      </w:r>
    </w:p>
    <w:p>
      <w:pPr>
        <w:spacing w:after="0" w:line="400" w:lineRule="exact"/>
        <w:ind w:firstLine="422" w:firstLineChars="200"/>
        <w:rPr>
          <w:rFonts w:ascii="宋体" w:hAnsi="宋体" w:eastAsia="宋体" w:cs="Times New Roman"/>
          <w:sz w:val="21"/>
          <w:szCs w:val="21"/>
        </w:rPr>
      </w:pPr>
      <w:r>
        <w:rPr>
          <w:rFonts w:hint="eastAsia" w:ascii="宋体" w:hAnsi="宋体" w:eastAsia="宋体" w:cs="Times New Roman"/>
          <w:b/>
          <w:sz w:val="21"/>
          <w:szCs w:val="21"/>
        </w:rPr>
        <w:t>关键词</w:t>
      </w:r>
      <w:r>
        <w:rPr>
          <w:rFonts w:hint="eastAsia" w:ascii="宋体" w:hAnsi="宋体" w:eastAsia="宋体" w:cs="Times New Roman"/>
          <w:sz w:val="21"/>
          <w:szCs w:val="21"/>
        </w:rPr>
        <w:t>：长江经济带；因子分析；港口效率</w:t>
      </w:r>
    </w:p>
    <w:p>
      <w:pPr>
        <w:spacing w:after="0" w:line="400" w:lineRule="exact"/>
        <w:ind w:firstLine="422" w:firstLineChars="200"/>
        <w:rPr>
          <w:rFonts w:ascii="宋体" w:hAnsi="宋体" w:eastAsia="宋体" w:cs="Times New Roman"/>
          <w:sz w:val="21"/>
          <w:szCs w:val="21"/>
        </w:rPr>
      </w:pPr>
      <w:r>
        <w:rPr>
          <w:rFonts w:hint="eastAsia" w:ascii="宋体" w:hAnsi="宋体" w:eastAsia="宋体" w:cs="Times New Roman"/>
          <w:b/>
          <w:sz w:val="21"/>
          <w:szCs w:val="21"/>
        </w:rPr>
        <w:t>中图分类号</w:t>
      </w:r>
      <w:r>
        <w:rPr>
          <w:rFonts w:hint="eastAsia" w:ascii="宋体" w:hAnsi="宋体" w:eastAsia="宋体" w:cs="Times New Roman"/>
          <w:sz w:val="21"/>
          <w:szCs w:val="21"/>
        </w:rPr>
        <w:t xml:space="preserve">：F552        </w:t>
      </w:r>
      <w:r>
        <w:rPr>
          <w:rFonts w:hint="eastAsia" w:ascii="宋体" w:hAnsi="宋体" w:eastAsia="宋体" w:cs="Times New Roman"/>
          <w:b/>
          <w:sz w:val="21"/>
          <w:szCs w:val="21"/>
        </w:rPr>
        <w:t>文献标识码</w:t>
      </w:r>
      <w:r>
        <w:rPr>
          <w:rFonts w:hint="eastAsia" w:ascii="宋体" w:hAnsi="宋体" w:eastAsia="宋体" w:cs="Times New Roman"/>
          <w:sz w:val="21"/>
          <w:szCs w:val="21"/>
        </w:rPr>
        <w:t>：A</w:t>
      </w:r>
    </w:p>
    <w:p>
      <w:pPr>
        <w:spacing w:after="0" w:line="400" w:lineRule="exact"/>
        <w:ind w:firstLine="422" w:firstLineChars="200"/>
        <w:jc w:val="both"/>
        <w:rPr>
          <w:rFonts w:ascii="Times New Roman" w:hAnsi="Times New Roman" w:eastAsia="方正姚体" w:cs="Times New Roman"/>
          <w:sz w:val="21"/>
          <w:szCs w:val="21"/>
        </w:rPr>
      </w:pPr>
      <w:r>
        <w:rPr>
          <w:rFonts w:ascii="Times New Roman" w:hAnsi="Times New Roman" w:eastAsia="方正姚体" w:cs="Times New Roman"/>
          <w:b/>
          <w:sz w:val="21"/>
          <w:szCs w:val="21"/>
        </w:rPr>
        <w:t>Abstract</w:t>
      </w:r>
      <w:r>
        <w:rPr>
          <w:rFonts w:hint="eastAsia" w:ascii="Times New Roman" w:hAnsi="Times New Roman" w:eastAsia="方正姚体" w:cs="Times New Roman"/>
          <w:b/>
          <w:sz w:val="21"/>
          <w:szCs w:val="21"/>
        </w:rPr>
        <w:t>:</w:t>
      </w:r>
      <w:r>
        <w:t xml:space="preserve"> </w:t>
      </w:r>
      <w:r>
        <w:rPr>
          <w:rFonts w:ascii="Times New Roman" w:hAnsi="Times New Roman" w:eastAsia="方正姚体" w:cs="Times New Roman"/>
          <w:sz w:val="21"/>
          <w:szCs w:val="21"/>
        </w:rPr>
        <w:t xml:space="preserve">The performances of the 6 major ports in Jiangsu Province are evaluated adopting the method of factor analysis . Based on the empirical study, the strategy of the Yangtze River economic belt improved the performance of major ports in Jiangsu province and the efficiency of each port was rising. Getting rid of </w:t>
      </w:r>
      <w:r>
        <w:rPr>
          <w:rFonts w:hint="eastAsia" w:ascii="Times New Roman" w:hAnsi="Times New Roman" w:eastAsia="方正姚体" w:cs="Times New Roman"/>
          <w:sz w:val="21"/>
          <w:szCs w:val="21"/>
        </w:rPr>
        <w:t xml:space="preserve">the influence in </w:t>
      </w:r>
      <w:r>
        <w:rPr>
          <w:rFonts w:ascii="Times New Roman" w:hAnsi="Times New Roman" w:eastAsia="方正姚体" w:cs="Times New Roman"/>
          <w:sz w:val="21"/>
          <w:szCs w:val="21"/>
        </w:rPr>
        <w:t>environmental variables and random factors, the comprehensive efficiency of the ports were steady rising, and scale efficiency showed no change or decline. Except that, the results showed that all the ports need further optimization in the allocation of resources and scale</w:t>
      </w:r>
    </w:p>
    <w:p>
      <w:pPr>
        <w:spacing w:after="0" w:line="400" w:lineRule="exact"/>
        <w:ind w:firstLine="422" w:firstLineChars="200"/>
        <w:rPr>
          <w:rFonts w:ascii="Times New Roman" w:hAnsi="Times New Roman" w:eastAsia="方正姚体" w:cs="Times New Roman"/>
          <w:sz w:val="21"/>
          <w:szCs w:val="21"/>
        </w:rPr>
      </w:pPr>
      <w:r>
        <w:rPr>
          <w:rFonts w:ascii="Times New Roman" w:hAnsi="Times New Roman" w:eastAsia="方正姚体" w:cs="Times New Roman"/>
          <w:b/>
          <w:sz w:val="21"/>
          <w:szCs w:val="21"/>
        </w:rPr>
        <w:t>Keywords</w:t>
      </w:r>
      <w:r>
        <w:rPr>
          <w:rFonts w:ascii="Times New Roman" w:hAnsi="Times New Roman" w:eastAsia="方正姚体" w:cs="Times New Roman"/>
          <w:sz w:val="21"/>
          <w:szCs w:val="21"/>
        </w:rPr>
        <w:t xml:space="preserve">:  large-scale ports </w:t>
      </w:r>
      <w:r>
        <w:rPr>
          <w:rFonts w:hint="eastAsia" w:ascii="Times New Roman" w:hAnsi="Times New Roman" w:eastAsia="方正姚体" w:cs="Times New Roman"/>
          <w:sz w:val="21"/>
          <w:szCs w:val="21"/>
        </w:rPr>
        <w:t>in</w:t>
      </w:r>
      <w:r>
        <w:rPr>
          <w:rFonts w:ascii="Times New Roman" w:hAnsi="Times New Roman" w:eastAsia="方正姚体" w:cs="Times New Roman"/>
          <w:sz w:val="21"/>
          <w:szCs w:val="21"/>
        </w:rPr>
        <w:t xml:space="preserve"> Jiangsu province; factor analysis; port efficiency</w:t>
      </w:r>
    </w:p>
    <w:p>
      <w:pPr>
        <w:pStyle w:val="2"/>
        <w:spacing w:before="180"/>
      </w:pPr>
      <w:r>
        <w:rPr>
          <w:rFonts w:hint="eastAsia"/>
        </w:rPr>
        <w:t>0引言</w:t>
      </w:r>
    </w:p>
    <w:p>
      <w:pPr>
        <w:spacing w:after="0" w:line="400" w:lineRule="exact"/>
        <w:ind w:firstLine="420" w:firstLineChars="200"/>
        <w:jc w:val="both"/>
        <w:rPr>
          <w:rFonts w:asciiTheme="minorEastAsia" w:hAnsiTheme="minorEastAsia" w:eastAsiaTheme="minorEastAsia"/>
          <w:sz w:val="21"/>
          <w:szCs w:val="21"/>
        </w:rPr>
      </w:pPr>
      <w:r>
        <w:rPr>
          <w:rFonts w:hint="eastAsia" w:asciiTheme="minorEastAsia" w:hAnsiTheme="minorEastAsia" w:eastAsiaTheme="minorEastAsia"/>
          <w:sz w:val="21"/>
          <w:szCs w:val="21"/>
        </w:rPr>
        <w:t>2016年9月，中共中央、国务院印发《长江经济带发展规划纲要》，江苏段作为长江龙头区段要依托黄金水道推动长江经济带的发展就要充分利用黄金水道航运能力，提升港口绩效水平，为中国经济持续健康发展提供有力支撑。</w:t>
      </w:r>
    </w:p>
    <w:p>
      <w:pPr>
        <w:spacing w:after="0" w:line="400" w:lineRule="exact"/>
        <w:ind w:firstLine="420" w:firstLineChars="200"/>
        <w:jc w:val="both"/>
        <w:rPr>
          <w:rFonts w:asciiTheme="minorEastAsia" w:hAnsiTheme="minorEastAsia" w:eastAsiaTheme="minorEastAsia"/>
          <w:sz w:val="21"/>
          <w:szCs w:val="21"/>
        </w:rPr>
      </w:pPr>
      <w:r>
        <w:rPr>
          <w:rFonts w:hint="eastAsia" w:asciiTheme="minorEastAsia" w:hAnsiTheme="minorEastAsia" w:eastAsiaTheme="minorEastAsia"/>
          <w:sz w:val="21"/>
          <w:szCs w:val="21"/>
        </w:rPr>
        <w:t>港口效率的高低是衡量一个地区竞争优势的重要标志。随着长江经济带战略、“一带一路”建设战略、自贸试验区建设等重大国家战略的实施，必将对江苏省相关港口的发展提出更高的要求，为此就需要对江苏省的重点港口进行效率评价，进而优化港口布局，进行港口有效管理，实现港口生产效率地提升。</w:t>
      </w:r>
    </w:p>
    <w:p>
      <w:pPr>
        <w:spacing w:after="0" w:line="400" w:lineRule="exact"/>
        <w:ind w:firstLine="420" w:firstLineChars="200"/>
        <w:jc w:val="both"/>
        <w:rPr>
          <w:rFonts w:asciiTheme="minorEastAsia" w:hAnsiTheme="minorEastAsia" w:eastAsiaTheme="minorEastAsia"/>
          <w:color w:val="FF0000"/>
          <w:sz w:val="21"/>
          <w:szCs w:val="21"/>
        </w:rPr>
      </w:pPr>
      <w:r>
        <w:rPr>
          <w:rFonts w:hint="eastAsia" w:asciiTheme="minorEastAsia" w:hAnsiTheme="minorEastAsia" w:eastAsiaTheme="minorEastAsia"/>
          <w:sz w:val="21"/>
          <w:szCs w:val="21"/>
        </w:rPr>
        <w:t>港口效率理论研究始于80年代，近年来研究的宽度和深度不断增加，港口效率理论研究由浅及深。早期研究通常借助单一或多个指标来分析港口效率，港口绩效评价通常有码头的货物作业效率如货物装卸效率（Bendall和Stent</w:t>
      </w:r>
      <w:r>
        <w:rPr>
          <w:rFonts w:hint="eastAsia" w:asciiTheme="minorEastAsia" w:hAnsiTheme="minorEastAsia" w:eastAsiaTheme="minorEastAsia"/>
          <w:sz w:val="21"/>
          <w:szCs w:val="21"/>
          <w:vertAlign w:val="superscript"/>
        </w:rPr>
        <w:t>[1]</w:t>
      </w:r>
      <w:r>
        <w:rPr>
          <w:rFonts w:hint="eastAsia" w:asciiTheme="minorEastAsia" w:hAnsiTheme="minorEastAsia" w:eastAsiaTheme="minorEastAsia"/>
          <w:sz w:val="21"/>
          <w:szCs w:val="21"/>
        </w:rPr>
        <w:t>）、货物吞吐量（</w:t>
      </w:r>
      <w:r>
        <w:rPr>
          <w:rFonts w:asciiTheme="minorEastAsia" w:hAnsiTheme="minorEastAsia" w:eastAsiaTheme="minorEastAsia"/>
          <w:sz w:val="21"/>
          <w:szCs w:val="21"/>
        </w:rPr>
        <w:t>Tongzon</w:t>
      </w:r>
      <w:r>
        <w:rPr>
          <w:rFonts w:hint="eastAsia" w:asciiTheme="minorEastAsia" w:hAnsiTheme="minorEastAsia" w:eastAsiaTheme="minorEastAsia"/>
          <w:sz w:val="21"/>
          <w:szCs w:val="21"/>
          <w:vertAlign w:val="superscript"/>
        </w:rPr>
        <w:t xml:space="preserve"> [2]</w:t>
      </w:r>
      <w:r>
        <w:rPr>
          <w:rFonts w:hint="eastAsia" w:asciiTheme="minorEastAsia" w:hAnsiTheme="minorEastAsia" w:eastAsiaTheme="minorEastAsia"/>
          <w:sz w:val="21"/>
          <w:szCs w:val="21"/>
        </w:rPr>
        <w:t>）等。国内学者主要运用因子分析（李丽</w:t>
      </w:r>
      <w:r>
        <w:rPr>
          <w:rFonts w:hint="eastAsia" w:asciiTheme="minorEastAsia" w:hAnsiTheme="minorEastAsia" w:eastAsiaTheme="minorEastAsia"/>
          <w:sz w:val="21"/>
          <w:szCs w:val="21"/>
          <w:vertAlign w:val="superscript"/>
        </w:rPr>
        <w:t>[3]</w:t>
      </w:r>
      <w:r>
        <w:rPr>
          <w:rFonts w:hint="eastAsia" w:asciiTheme="minorEastAsia" w:hAnsiTheme="minorEastAsia" w:eastAsiaTheme="minorEastAsia"/>
          <w:sz w:val="21"/>
          <w:szCs w:val="21"/>
        </w:rPr>
        <w:t>）以及各种DEA模型来进行绩效分析（匡海波</w:t>
      </w:r>
      <w:r>
        <w:rPr>
          <w:rFonts w:hint="eastAsia" w:asciiTheme="minorEastAsia" w:hAnsiTheme="minorEastAsia" w:eastAsiaTheme="minorEastAsia"/>
          <w:sz w:val="21"/>
          <w:szCs w:val="21"/>
          <w:vertAlign w:val="superscript"/>
        </w:rPr>
        <w:t>[4]</w:t>
      </w:r>
      <w:r>
        <w:rPr>
          <w:rFonts w:hint="eastAsia" w:asciiTheme="minorEastAsia" w:hAnsiTheme="minorEastAsia" w:eastAsiaTheme="minorEastAsia"/>
          <w:sz w:val="21"/>
          <w:szCs w:val="21"/>
        </w:rPr>
        <w:t>）。通过对相关研究文献分析，大多数研究成果未纳入环境变量与随机因素，并且对输入输出指标的选取具有片面性，评价指标体系尚需健全，等等。因此本文基于长江经济带战略背景,侧重扩大指标体系，运用因子分析法提取公共因子对江苏省大型港口进行港口效率测度，并提出相应的对策建议。</w:t>
      </w:r>
    </w:p>
    <w:p>
      <w:pPr>
        <w:pStyle w:val="2"/>
        <w:spacing w:before="180"/>
      </w:pPr>
      <w:r>
        <w:rPr>
          <w:rFonts w:hint="eastAsia"/>
        </w:rPr>
        <w:t>1研究方法确定</w:t>
      </w:r>
    </w:p>
    <w:p>
      <w:pPr>
        <w:spacing w:after="0" w:line="400" w:lineRule="exact"/>
        <w:ind w:firstLine="420" w:firstLineChars="200"/>
        <w:jc w:val="both"/>
        <w:rPr>
          <w:rFonts w:asciiTheme="minorEastAsia" w:hAnsiTheme="minorEastAsia" w:eastAsiaTheme="minorEastAsia"/>
          <w:sz w:val="21"/>
          <w:szCs w:val="21"/>
        </w:rPr>
      </w:pPr>
      <w:r>
        <w:rPr>
          <w:rFonts w:hint="eastAsia" w:asciiTheme="minorEastAsia" w:hAnsiTheme="minorEastAsia" w:eastAsiaTheme="minorEastAsia"/>
          <w:sz w:val="21"/>
          <w:szCs w:val="21"/>
        </w:rPr>
        <w:t>因子分析通过提取输入、输出变量的到公共因子，克服一般</w:t>
      </w:r>
      <w:r>
        <w:rPr>
          <w:rFonts w:asciiTheme="minorEastAsia" w:hAnsiTheme="minorEastAsia" w:eastAsiaTheme="minorEastAsia"/>
          <w:sz w:val="21"/>
          <w:szCs w:val="21"/>
        </w:rPr>
        <w:t>DEA</w:t>
      </w:r>
      <w:r>
        <w:rPr>
          <w:rFonts w:hint="eastAsia" w:asciiTheme="minorEastAsia" w:hAnsiTheme="minorEastAsia" w:eastAsiaTheme="minorEastAsia"/>
          <w:sz w:val="21"/>
          <w:szCs w:val="21"/>
        </w:rPr>
        <w:t>模型在变量选择上的主观性，能够降低指标维数，较好地满足</w:t>
      </w:r>
      <w:r>
        <w:rPr>
          <w:rFonts w:asciiTheme="minorEastAsia" w:hAnsiTheme="minorEastAsia" w:eastAsiaTheme="minorEastAsia"/>
          <w:sz w:val="21"/>
          <w:szCs w:val="21"/>
        </w:rPr>
        <w:t xml:space="preserve">DEA </w:t>
      </w:r>
      <w:r>
        <w:rPr>
          <w:rFonts w:hint="eastAsia" w:asciiTheme="minorEastAsia" w:hAnsiTheme="minorEastAsia" w:eastAsiaTheme="minorEastAsia"/>
          <w:sz w:val="21"/>
          <w:szCs w:val="21"/>
        </w:rPr>
        <w:t>模型在指标与决策单元数量上的限制，使得到的效率值能更真实地反映实际情况。目前，因子分析在财务（郭岚</w:t>
      </w:r>
      <w:r>
        <w:rPr>
          <w:rFonts w:hint="eastAsia" w:asciiTheme="minorEastAsia" w:hAnsiTheme="minorEastAsia" w:eastAsiaTheme="minorEastAsia"/>
          <w:sz w:val="21"/>
          <w:szCs w:val="21"/>
          <w:vertAlign w:val="superscript"/>
        </w:rPr>
        <w:t>[</w:t>
      </w:r>
      <w:r>
        <w:rPr>
          <w:rFonts w:hint="eastAsia" w:asciiTheme="minorEastAsia" w:hAnsiTheme="minorEastAsia" w:eastAsiaTheme="minorEastAsia"/>
          <w:sz w:val="21"/>
          <w:szCs w:val="21"/>
          <w:vertAlign w:val="superscript"/>
          <w:lang w:val="en-US" w:eastAsia="zh-CN"/>
        </w:rPr>
        <w:t>5</w:t>
      </w:r>
      <w:r>
        <w:rPr>
          <w:rFonts w:hint="eastAsia" w:asciiTheme="minorEastAsia" w:hAnsiTheme="minorEastAsia" w:eastAsiaTheme="minorEastAsia"/>
          <w:sz w:val="21"/>
          <w:szCs w:val="21"/>
          <w:vertAlign w:val="superscript"/>
        </w:rPr>
        <w:t>]</w:t>
      </w:r>
      <w:r>
        <w:rPr>
          <w:rFonts w:hint="eastAsia" w:asciiTheme="minorEastAsia" w:hAnsiTheme="minorEastAsia" w:eastAsiaTheme="minorEastAsia"/>
          <w:sz w:val="21"/>
          <w:szCs w:val="21"/>
        </w:rPr>
        <w:t>）、政务（陈岚</w:t>
      </w:r>
      <w:r>
        <w:rPr>
          <w:rFonts w:hint="eastAsia" w:asciiTheme="minorEastAsia" w:hAnsiTheme="minorEastAsia" w:eastAsiaTheme="minorEastAsia"/>
          <w:sz w:val="21"/>
          <w:szCs w:val="21"/>
          <w:vertAlign w:val="superscript"/>
        </w:rPr>
        <w:t>[</w:t>
      </w:r>
      <w:r>
        <w:rPr>
          <w:rFonts w:hint="eastAsia" w:asciiTheme="minorEastAsia" w:hAnsiTheme="minorEastAsia" w:eastAsiaTheme="minorEastAsia"/>
          <w:sz w:val="21"/>
          <w:szCs w:val="21"/>
          <w:vertAlign w:val="superscript"/>
          <w:lang w:val="en-US" w:eastAsia="zh-CN"/>
        </w:rPr>
        <w:t>6</w:t>
      </w:r>
      <w:r>
        <w:rPr>
          <w:rFonts w:hint="eastAsia" w:asciiTheme="minorEastAsia" w:hAnsiTheme="minorEastAsia" w:eastAsiaTheme="minorEastAsia"/>
          <w:sz w:val="21"/>
          <w:szCs w:val="21"/>
          <w:vertAlign w:val="superscript"/>
        </w:rPr>
        <w:t>]</w:t>
      </w:r>
      <w:r>
        <w:rPr>
          <w:rFonts w:hint="eastAsia" w:asciiTheme="minorEastAsia" w:hAnsiTheme="minorEastAsia" w:eastAsiaTheme="minorEastAsia"/>
          <w:sz w:val="21"/>
          <w:szCs w:val="21"/>
        </w:rPr>
        <w:t>）等多个领域得到广泛的应用，同样在港口评价模型（</w:t>
      </w:r>
      <w:r>
        <w:rPr>
          <w:rFonts w:asciiTheme="minorEastAsia" w:hAnsiTheme="minorEastAsia" w:eastAsiaTheme="minorEastAsia"/>
          <w:sz w:val="21"/>
          <w:szCs w:val="21"/>
        </w:rPr>
        <w:t>Armando Gonalve</w:t>
      </w:r>
      <w:r>
        <w:rPr>
          <w:rFonts w:hint="eastAsia" w:asciiTheme="minorEastAsia" w:hAnsiTheme="minorEastAsia" w:eastAsiaTheme="minorEastAsia"/>
          <w:sz w:val="21"/>
          <w:szCs w:val="21"/>
        </w:rPr>
        <w:t>s</w:t>
      </w:r>
      <w:r>
        <w:rPr>
          <w:rFonts w:hint="eastAsia" w:asciiTheme="minorEastAsia" w:hAnsiTheme="minorEastAsia" w:eastAsiaTheme="minorEastAsia"/>
          <w:sz w:val="21"/>
          <w:szCs w:val="21"/>
          <w:vertAlign w:val="superscript"/>
        </w:rPr>
        <w:t>[</w:t>
      </w:r>
      <w:r>
        <w:rPr>
          <w:rFonts w:hint="eastAsia" w:asciiTheme="minorEastAsia" w:hAnsiTheme="minorEastAsia" w:eastAsiaTheme="minorEastAsia"/>
          <w:sz w:val="21"/>
          <w:szCs w:val="21"/>
          <w:vertAlign w:val="superscript"/>
          <w:lang w:val="en-US" w:eastAsia="zh-CN"/>
        </w:rPr>
        <w:t>7</w:t>
      </w:r>
      <w:r>
        <w:rPr>
          <w:rFonts w:hint="eastAsia" w:asciiTheme="minorEastAsia" w:hAnsiTheme="minorEastAsia" w:eastAsiaTheme="minorEastAsia"/>
          <w:sz w:val="21"/>
          <w:szCs w:val="21"/>
          <w:vertAlign w:val="superscript"/>
        </w:rPr>
        <w:t>]</w:t>
      </w:r>
      <w:r>
        <w:rPr>
          <w:rFonts w:hint="eastAsia" w:asciiTheme="minorEastAsia" w:hAnsiTheme="minorEastAsia" w:eastAsiaTheme="minorEastAsia"/>
          <w:sz w:val="21"/>
          <w:szCs w:val="21"/>
        </w:rPr>
        <w:t>）中因子分析的运用也相对成熟，事实证明因子分析能够实现用更少的独立变量反映更多信息的目的。</w:t>
      </w:r>
    </w:p>
    <w:p>
      <w:pPr>
        <w:pStyle w:val="2"/>
        <w:spacing w:before="180"/>
      </w:pPr>
      <w:r>
        <w:rPr>
          <w:rFonts w:hint="eastAsia"/>
        </w:rPr>
        <w:t>2决策单元与评价指标的选择</w:t>
      </w:r>
    </w:p>
    <w:p>
      <w:pPr>
        <w:spacing w:after="0" w:line="400" w:lineRule="exact"/>
        <w:ind w:firstLine="420" w:firstLineChars="200"/>
        <w:rPr>
          <w:rFonts w:asciiTheme="minorEastAsia" w:hAnsiTheme="minorEastAsia" w:eastAsiaTheme="minorEastAsia"/>
          <w:bCs/>
          <w:sz w:val="21"/>
          <w:szCs w:val="21"/>
        </w:rPr>
      </w:pPr>
      <w:r>
        <w:rPr>
          <w:rFonts w:hint="eastAsia" w:asciiTheme="minorEastAsia" w:hAnsiTheme="minorEastAsia" w:eastAsiaTheme="minorEastAsia"/>
          <w:bCs/>
          <w:sz w:val="21"/>
          <w:szCs w:val="21"/>
        </w:rPr>
        <w:t>本文选取江苏省连云港港、南京港、镇江港、苏州港、南通港、江阴港这6个常年亿吨港口的效率进行评价分析。为准确的反映港口的投入产出情况，本文输入指标包括仓库面积、堆场面积、港口生产性泊位数、港口主航道水深、港口万吨级泊位数、码头泊位长度、泊位通过能力以及港口投资额。输出指标包括港口货物吞吐量、港口外贸吞吐量、港口集装箱吞吐量、年作业天数、机械作业效率、航班密度、航线覆盖面。环境指标包括腹地城市年GDP、港口城市GDP增长速度、在岗职工平均工资、腹地城市年末常住人口、公路通车里程、内河航道里程等。</w:t>
      </w:r>
    </w:p>
    <w:p>
      <w:pPr>
        <w:pStyle w:val="2"/>
        <w:keepNext w:val="0"/>
        <w:keepLines w:val="0"/>
        <w:widowControl w:val="0"/>
      </w:pPr>
      <w:r>
        <w:rPr>
          <w:rFonts w:hint="eastAsia"/>
        </w:rPr>
        <w:t>3实证分析</w:t>
      </w:r>
    </w:p>
    <w:p>
      <w:pPr>
        <w:pStyle w:val="3"/>
        <w:keepNext w:val="0"/>
        <w:keepLines w:val="0"/>
        <w:widowControl w:val="0"/>
        <w:spacing w:before="180"/>
      </w:pPr>
      <w:r>
        <w:rPr>
          <w:rFonts w:hint="eastAsia"/>
        </w:rPr>
        <w:t>3.1 数据收集</w:t>
      </w:r>
    </w:p>
    <w:p>
      <w:pPr>
        <w:widowControl w:val="0"/>
        <w:spacing w:after="0" w:line="400" w:lineRule="exact"/>
        <w:ind w:firstLine="420" w:firstLineChars="200"/>
        <w:rPr>
          <w:rFonts w:asciiTheme="minorEastAsia" w:hAnsiTheme="minorEastAsia" w:eastAsiaTheme="minorEastAsia"/>
          <w:bCs/>
          <w:sz w:val="21"/>
          <w:szCs w:val="21"/>
        </w:rPr>
      </w:pPr>
      <w:r>
        <w:rPr>
          <w:rFonts w:hint="eastAsia" w:asciiTheme="minorEastAsia" w:hAnsiTheme="minorEastAsia" w:eastAsiaTheme="minorEastAsia"/>
          <w:bCs/>
          <w:sz w:val="21"/>
          <w:szCs w:val="21"/>
        </w:rPr>
        <w:t>2014年“两会”提出建设长江经济带规划，为进一步分析对比各港口在战略实施前后的差别，以及验证其在江苏省的实施效果，为此，本文选取2012-2015年连云港港、南京港、镇江港、苏州港、南通港、江阴港6个大型港口数据进行定量分析，各港口评价指标数据如表3.1所示。</w:t>
      </w:r>
    </w:p>
    <w:p>
      <w:pPr>
        <w:pStyle w:val="3"/>
        <w:keepNext w:val="0"/>
        <w:keepLines w:val="0"/>
        <w:pageBreakBefore w:val="0"/>
        <w:widowControl w:val="0"/>
        <w:kinsoku w:val="0"/>
        <w:wordWrap/>
        <w:overflowPunct w:val="0"/>
        <w:topLinePunct w:val="0"/>
        <w:autoSpaceDE w:val="0"/>
        <w:autoSpaceDN w:val="0"/>
        <w:bidi w:val="0"/>
        <w:adjustRightInd w:val="0"/>
        <w:snapToGrid w:val="0"/>
        <w:spacing w:before="180" w:after="0" w:line="400" w:lineRule="exact"/>
        <w:ind w:left="0" w:leftChars="0" w:right="0" w:rightChars="0" w:firstLine="0" w:firstLineChars="0"/>
        <w:jc w:val="left"/>
        <w:textAlignment w:val="auto"/>
        <w:outlineLvl w:val="1"/>
      </w:pPr>
      <w:r>
        <w:rPr>
          <w:rFonts w:hint="eastAsia"/>
        </w:rPr>
        <w:t>3.2 数据分析</w:t>
      </w:r>
    </w:p>
    <w:p>
      <w:pPr>
        <w:keepNext w:val="0"/>
        <w:keepLines w:val="0"/>
        <w:pageBreakBefore w:val="0"/>
        <w:widowControl w:val="0"/>
        <w:kinsoku/>
        <w:wordWrap/>
        <w:overflowPunct/>
        <w:topLinePunct w:val="0"/>
        <w:autoSpaceDE/>
        <w:autoSpaceDN/>
        <w:bidi w:val="0"/>
        <w:adjustRightInd w:val="0"/>
        <w:snapToGrid w:val="0"/>
        <w:spacing w:after="0" w:line="400" w:lineRule="exact"/>
        <w:ind w:left="0" w:leftChars="0" w:right="0" w:rightChars="0" w:firstLine="420" w:firstLineChars="200"/>
        <w:jc w:val="left"/>
        <w:textAlignment w:val="auto"/>
        <w:outlineLvl w:val="9"/>
        <w:rPr>
          <w:rFonts w:ascii="宋体" w:hAnsi="宋体" w:eastAsia="宋体"/>
          <w:sz w:val="21"/>
          <w:szCs w:val="21"/>
        </w:rPr>
      </w:pPr>
      <w:r>
        <w:rPr>
          <w:rFonts w:hint="eastAsia" w:asciiTheme="minorEastAsia" w:hAnsiTheme="minorEastAsia" w:eastAsiaTheme="minorEastAsia"/>
          <w:sz w:val="21"/>
          <w:szCs w:val="21"/>
        </w:rPr>
        <w:t>为了用更少的独立变量反映更多港口信息，同时克服指标选择的主观性，本文运用SPSS17对输入、输出、环境指标进行</w:t>
      </w:r>
      <w:r>
        <w:rPr>
          <w:rFonts w:hint="eastAsia" w:ascii="宋体" w:hAnsi="宋体" w:eastAsia="宋体"/>
          <w:sz w:val="21"/>
          <w:szCs w:val="21"/>
        </w:rPr>
        <w:t>探索性因子分析。通过效度检验发现KMO检验值均大于0.5且Bartlett球体检验显著，表明数据适宜进行因子分析。输入指标经检验后，8个输入变量经因子分析得到3个公因子，解释总变量的86.768%；输出指标经检验后，将7个输入变量经因子分析得到3个公因子，解释总变量的89.491%；环境指标中6个变量提取出2个公因子，解释总变量的84.766%。公共因子命名及其成份如表3.</w:t>
      </w:r>
      <w:r>
        <w:rPr>
          <w:rFonts w:hint="eastAsia" w:ascii="宋体" w:hAnsi="宋体" w:eastAsia="宋体"/>
          <w:sz w:val="21"/>
          <w:szCs w:val="21"/>
          <w:lang w:val="en-US" w:eastAsia="zh-CN"/>
        </w:rPr>
        <w:t>1</w:t>
      </w:r>
      <w:r>
        <w:rPr>
          <w:rFonts w:hint="eastAsia" w:ascii="宋体" w:hAnsi="宋体" w:eastAsia="宋体"/>
          <w:sz w:val="21"/>
          <w:szCs w:val="21"/>
        </w:rPr>
        <w:t>所示。</w:t>
      </w:r>
    </w:p>
    <w:p>
      <w:pPr>
        <w:spacing w:beforeLines="50" w:after="0" w:line="360" w:lineRule="auto"/>
        <w:ind w:firstLine="361" w:firstLineChars="200"/>
        <w:jc w:val="center"/>
        <w:rPr>
          <w:rFonts w:ascii="宋体" w:hAnsi="宋体" w:eastAsia="宋体"/>
          <w:b/>
          <w:sz w:val="18"/>
          <w:szCs w:val="18"/>
        </w:rPr>
      </w:pPr>
      <w:r>
        <w:rPr>
          <w:rFonts w:hint="eastAsia" w:ascii="宋体" w:hAnsi="宋体" w:eastAsia="宋体"/>
          <w:b/>
          <w:sz w:val="18"/>
          <w:szCs w:val="18"/>
        </w:rPr>
        <w:t>表3.</w:t>
      </w:r>
      <w:r>
        <w:rPr>
          <w:rFonts w:hint="eastAsia" w:ascii="宋体" w:hAnsi="宋体" w:eastAsia="宋体"/>
          <w:b/>
          <w:sz w:val="18"/>
          <w:szCs w:val="18"/>
          <w:lang w:val="en-US" w:eastAsia="zh-CN"/>
        </w:rPr>
        <w:t>1</w:t>
      </w:r>
      <w:r>
        <w:rPr>
          <w:rFonts w:hint="eastAsia" w:ascii="宋体" w:hAnsi="宋体" w:eastAsia="宋体"/>
          <w:b/>
          <w:sz w:val="18"/>
          <w:szCs w:val="18"/>
        </w:rPr>
        <w:t xml:space="preserve"> 输入、输出、环境指标公共因子命名及其成份</w:t>
      </w:r>
    </w:p>
    <w:tbl>
      <w:tblPr>
        <w:tblStyle w:val="12"/>
        <w:tblW w:w="8522" w:type="dxa"/>
        <w:tblInd w:w="0" w:type="dxa"/>
        <w:tblBorders>
          <w:top w:val="single" w:color="000000" w:themeColor="text1" w:sz="12" w:space="0"/>
          <w:left w:val="none" w:color="auto" w:sz="0" w:space="0"/>
          <w:bottom w:val="single" w:color="000000" w:themeColor="text1" w:sz="12"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420"/>
        <w:gridCol w:w="1420"/>
        <w:gridCol w:w="1420"/>
        <w:gridCol w:w="1420"/>
        <w:gridCol w:w="1421"/>
        <w:gridCol w:w="1421"/>
      </w:tblGrid>
      <w:tr>
        <w:tblPrEx>
          <w:tblBorders>
            <w:top w:val="single" w:color="000000" w:themeColor="text1" w:sz="12" w:space="0"/>
            <w:left w:val="none" w:color="auto" w:sz="0" w:space="0"/>
            <w:bottom w:val="single" w:color="000000" w:themeColor="text1" w:sz="12"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c>
          <w:tcPr>
            <w:tcW w:w="2840" w:type="dxa"/>
            <w:gridSpan w:val="2"/>
            <w:tcBorders>
              <w:top w:val="single" w:color="000000" w:themeColor="text1" w:sz="12" w:space="0"/>
              <w:bottom w:val="single" w:color="000000" w:themeColor="text1" w:sz="4" w:space="0"/>
              <w:right w:val="nil"/>
            </w:tcBorders>
            <w:vAlign w:val="center"/>
          </w:tcPr>
          <w:p>
            <w:pPr>
              <w:spacing w:after="0"/>
              <w:jc w:val="center"/>
              <w:rPr>
                <w:rFonts w:ascii="宋体" w:hAnsi="宋体" w:eastAsia="宋体" w:cs="Times New Roman"/>
                <w:b/>
                <w:sz w:val="18"/>
                <w:szCs w:val="18"/>
              </w:rPr>
            </w:pPr>
            <w:r>
              <w:rPr>
                <w:rFonts w:hint="eastAsia" w:ascii="宋体" w:hAnsi="宋体" w:eastAsia="宋体" w:cs="Times New Roman"/>
                <w:b/>
                <w:sz w:val="18"/>
                <w:szCs w:val="18"/>
              </w:rPr>
              <w:t>输入指标</w:t>
            </w:r>
          </w:p>
        </w:tc>
        <w:tc>
          <w:tcPr>
            <w:tcW w:w="2840" w:type="dxa"/>
            <w:gridSpan w:val="2"/>
            <w:tcBorders>
              <w:top w:val="single" w:color="000000" w:themeColor="text1" w:sz="12" w:space="0"/>
              <w:left w:val="nil"/>
              <w:bottom w:val="single" w:color="000000" w:themeColor="text1" w:sz="4" w:space="0"/>
              <w:right w:val="nil"/>
            </w:tcBorders>
            <w:vAlign w:val="center"/>
          </w:tcPr>
          <w:p>
            <w:pPr>
              <w:spacing w:after="0"/>
              <w:jc w:val="center"/>
              <w:rPr>
                <w:rFonts w:ascii="宋体" w:hAnsi="宋体" w:eastAsia="宋体" w:cs="Times New Roman"/>
                <w:b/>
                <w:sz w:val="18"/>
                <w:szCs w:val="18"/>
              </w:rPr>
            </w:pPr>
            <w:r>
              <w:rPr>
                <w:rFonts w:hint="eastAsia" w:ascii="宋体" w:hAnsi="宋体" w:eastAsia="宋体" w:cs="Times New Roman"/>
                <w:b/>
                <w:sz w:val="18"/>
                <w:szCs w:val="18"/>
              </w:rPr>
              <w:t>输出指标</w:t>
            </w:r>
          </w:p>
        </w:tc>
        <w:tc>
          <w:tcPr>
            <w:tcW w:w="2842" w:type="dxa"/>
            <w:gridSpan w:val="2"/>
            <w:tcBorders>
              <w:top w:val="single" w:color="000000" w:themeColor="text1" w:sz="12" w:space="0"/>
              <w:left w:val="nil"/>
              <w:bottom w:val="single" w:color="000000" w:themeColor="text1" w:sz="4" w:space="0"/>
            </w:tcBorders>
            <w:vAlign w:val="center"/>
          </w:tcPr>
          <w:p>
            <w:pPr>
              <w:spacing w:after="0"/>
              <w:jc w:val="center"/>
              <w:rPr>
                <w:rFonts w:ascii="宋体" w:hAnsi="宋体" w:eastAsia="宋体" w:cs="Times New Roman"/>
                <w:b/>
                <w:sz w:val="18"/>
                <w:szCs w:val="18"/>
              </w:rPr>
            </w:pPr>
            <w:r>
              <w:rPr>
                <w:rFonts w:hint="eastAsia" w:ascii="宋体" w:hAnsi="宋体" w:eastAsia="宋体" w:cs="Times New Roman"/>
                <w:b/>
                <w:sz w:val="18"/>
                <w:szCs w:val="18"/>
              </w:rPr>
              <w:t>环境指标</w:t>
            </w:r>
          </w:p>
        </w:tc>
      </w:tr>
      <w:tr>
        <w:tblPrEx>
          <w:tblBorders>
            <w:top w:val="single" w:color="000000" w:themeColor="text1" w:sz="12" w:space="0"/>
            <w:left w:val="none" w:color="auto" w:sz="0" w:space="0"/>
            <w:bottom w:val="single" w:color="000000" w:themeColor="text1" w:sz="12"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c>
          <w:tcPr>
            <w:tcW w:w="1420" w:type="dxa"/>
            <w:vMerge w:val="restart"/>
            <w:tcBorders>
              <w:top w:val="single" w:color="000000" w:themeColor="text1" w:sz="4" w:space="0"/>
              <w:bottom w:val="nil"/>
            </w:tcBorders>
            <w:vAlign w:val="center"/>
          </w:tcPr>
          <w:p>
            <w:pPr>
              <w:spacing w:after="0"/>
              <w:jc w:val="center"/>
              <w:rPr>
                <w:rFonts w:ascii="宋体" w:hAnsi="宋体" w:eastAsia="宋体" w:cs="Times New Roman"/>
                <w:sz w:val="18"/>
                <w:szCs w:val="18"/>
              </w:rPr>
            </w:pPr>
            <w:r>
              <w:rPr>
                <w:rFonts w:hint="eastAsia" w:ascii="宋体" w:hAnsi="宋体" w:eastAsia="宋体" w:cs="Times New Roman"/>
                <w:sz w:val="18"/>
                <w:szCs w:val="18"/>
              </w:rPr>
              <w:t>港口基础能力因子</w:t>
            </w:r>
          </w:p>
        </w:tc>
        <w:tc>
          <w:tcPr>
            <w:tcW w:w="1420" w:type="dxa"/>
            <w:tcBorders>
              <w:top w:val="single" w:color="000000" w:themeColor="text1" w:sz="4" w:space="0"/>
              <w:bottom w:val="nil"/>
              <w:right w:val="single" w:color="000000" w:themeColor="text1" w:sz="4" w:space="0"/>
            </w:tcBorders>
            <w:vAlign w:val="center"/>
          </w:tcPr>
          <w:p>
            <w:pPr>
              <w:spacing w:after="0"/>
              <w:rPr>
                <w:rFonts w:ascii="宋体" w:hAnsi="宋体" w:eastAsia="宋体" w:cs="Times New Roman"/>
                <w:sz w:val="18"/>
                <w:szCs w:val="18"/>
              </w:rPr>
            </w:pPr>
            <w:r>
              <w:rPr>
                <w:rFonts w:hint="eastAsia" w:ascii="宋体" w:hAnsi="宋体" w:eastAsia="宋体" w:cs="Times New Roman"/>
                <w:sz w:val="18"/>
                <w:szCs w:val="18"/>
              </w:rPr>
              <w:t>生产性泊位数</w:t>
            </w:r>
          </w:p>
        </w:tc>
        <w:tc>
          <w:tcPr>
            <w:tcW w:w="1420" w:type="dxa"/>
            <w:vMerge w:val="restart"/>
            <w:tcBorders>
              <w:top w:val="single" w:color="000000" w:themeColor="text1" w:sz="4" w:space="0"/>
              <w:left w:val="single" w:color="000000" w:themeColor="text1" w:sz="4" w:space="0"/>
              <w:bottom w:val="nil"/>
            </w:tcBorders>
            <w:vAlign w:val="center"/>
          </w:tcPr>
          <w:p>
            <w:pPr>
              <w:spacing w:after="0"/>
              <w:jc w:val="center"/>
              <w:rPr>
                <w:rFonts w:ascii="宋体" w:hAnsi="宋体" w:eastAsia="宋体" w:cs="Times New Roman"/>
                <w:sz w:val="18"/>
                <w:szCs w:val="18"/>
              </w:rPr>
            </w:pPr>
            <w:r>
              <w:rPr>
                <w:rFonts w:hint="eastAsia" w:ascii="宋体" w:hAnsi="宋体" w:eastAsia="宋体" w:cs="Times New Roman"/>
                <w:sz w:val="18"/>
                <w:szCs w:val="18"/>
              </w:rPr>
              <w:t>港口运行效能因子</w:t>
            </w:r>
          </w:p>
        </w:tc>
        <w:tc>
          <w:tcPr>
            <w:tcW w:w="1420" w:type="dxa"/>
            <w:tcBorders>
              <w:top w:val="single" w:color="000000" w:themeColor="text1" w:sz="4" w:space="0"/>
              <w:bottom w:val="nil"/>
              <w:right w:val="single" w:color="000000" w:themeColor="text1" w:sz="4" w:space="0"/>
            </w:tcBorders>
            <w:vAlign w:val="center"/>
          </w:tcPr>
          <w:p>
            <w:pPr>
              <w:spacing w:after="0"/>
              <w:rPr>
                <w:rFonts w:ascii="宋体" w:hAnsi="宋体" w:eastAsia="宋体" w:cs="Times New Roman"/>
                <w:sz w:val="18"/>
                <w:szCs w:val="18"/>
              </w:rPr>
            </w:pPr>
            <w:r>
              <w:rPr>
                <w:rFonts w:hint="eastAsia" w:ascii="宋体" w:hAnsi="宋体" w:eastAsia="宋体" w:cs="Times New Roman"/>
                <w:sz w:val="18"/>
                <w:szCs w:val="18"/>
              </w:rPr>
              <w:t>港口货物吞吐量</w:t>
            </w:r>
          </w:p>
        </w:tc>
        <w:tc>
          <w:tcPr>
            <w:tcW w:w="1421" w:type="dxa"/>
            <w:vMerge w:val="restart"/>
            <w:tcBorders>
              <w:top w:val="single" w:color="000000" w:themeColor="text1" w:sz="4" w:space="0"/>
              <w:left w:val="single" w:color="000000" w:themeColor="text1" w:sz="4" w:space="0"/>
              <w:bottom w:val="single" w:color="000000" w:themeColor="text1" w:sz="4" w:space="0"/>
            </w:tcBorders>
            <w:vAlign w:val="center"/>
          </w:tcPr>
          <w:p>
            <w:pPr>
              <w:spacing w:after="0"/>
              <w:jc w:val="center"/>
              <w:rPr>
                <w:rFonts w:ascii="宋体" w:hAnsi="宋体" w:eastAsia="宋体" w:cs="Times New Roman"/>
                <w:sz w:val="18"/>
                <w:szCs w:val="18"/>
              </w:rPr>
            </w:pPr>
            <w:r>
              <w:rPr>
                <w:rFonts w:hint="eastAsia" w:ascii="宋体" w:hAnsi="宋体" w:eastAsia="宋体" w:cs="Times New Roman"/>
                <w:sz w:val="18"/>
                <w:szCs w:val="18"/>
              </w:rPr>
              <w:t>港口区位条件因子</w:t>
            </w:r>
          </w:p>
        </w:tc>
        <w:tc>
          <w:tcPr>
            <w:tcW w:w="1421" w:type="dxa"/>
            <w:vMerge w:val="restart"/>
            <w:tcBorders>
              <w:top w:val="single" w:color="000000" w:themeColor="text1" w:sz="4" w:space="0"/>
              <w:bottom w:val="single" w:color="000000" w:themeColor="text1" w:sz="4" w:space="0"/>
            </w:tcBorders>
            <w:vAlign w:val="bottom"/>
          </w:tcPr>
          <w:p>
            <w:pPr>
              <w:spacing w:after="0"/>
              <w:rPr>
                <w:rFonts w:ascii="宋体" w:hAnsi="宋体" w:eastAsia="宋体" w:cs="Times New Roman"/>
                <w:sz w:val="18"/>
                <w:szCs w:val="18"/>
              </w:rPr>
            </w:pPr>
            <w:r>
              <w:rPr>
                <w:rFonts w:hint="eastAsia" w:ascii="宋体" w:hAnsi="宋体" w:eastAsia="宋体" w:cs="Times New Roman"/>
                <w:sz w:val="18"/>
                <w:szCs w:val="18"/>
              </w:rPr>
              <w:t>港口城市GDP增速</w:t>
            </w:r>
          </w:p>
          <w:p>
            <w:pPr>
              <w:spacing w:after="0"/>
              <w:rPr>
                <w:rFonts w:ascii="宋体" w:hAnsi="宋体" w:eastAsia="宋体" w:cs="Times New Roman"/>
                <w:sz w:val="18"/>
                <w:szCs w:val="18"/>
              </w:rPr>
            </w:pPr>
            <w:r>
              <w:rPr>
                <w:rFonts w:hint="eastAsia" w:ascii="宋体" w:hAnsi="宋体" w:eastAsia="宋体" w:cs="Times New Roman"/>
                <w:sz w:val="18"/>
                <w:szCs w:val="18"/>
              </w:rPr>
              <w:t>腹地城市GDP</w:t>
            </w:r>
          </w:p>
          <w:p>
            <w:pPr>
              <w:spacing w:after="0"/>
              <w:rPr>
                <w:rFonts w:ascii="宋体" w:hAnsi="宋体" w:eastAsia="宋体" w:cs="Times New Roman"/>
                <w:sz w:val="18"/>
                <w:szCs w:val="18"/>
              </w:rPr>
            </w:pPr>
            <w:r>
              <w:rPr>
                <w:rFonts w:hint="eastAsia" w:ascii="宋体" w:hAnsi="宋体" w:eastAsia="宋体" w:cs="Times New Roman"/>
                <w:sz w:val="18"/>
                <w:szCs w:val="18"/>
              </w:rPr>
              <w:t>在岗职工平均工资</w:t>
            </w:r>
          </w:p>
          <w:p>
            <w:pPr>
              <w:rPr>
                <w:rFonts w:ascii="宋体" w:hAnsi="宋体" w:eastAsia="宋体" w:cs="Times New Roman"/>
                <w:sz w:val="18"/>
                <w:szCs w:val="18"/>
              </w:rPr>
            </w:pPr>
            <w:r>
              <w:rPr>
                <w:rFonts w:hint="eastAsia" w:ascii="宋体" w:hAnsi="宋体" w:eastAsia="宋体" w:cs="Times New Roman"/>
                <w:sz w:val="18"/>
                <w:szCs w:val="18"/>
              </w:rPr>
              <w:t>腹地城市年末人口</w:t>
            </w:r>
          </w:p>
        </w:tc>
      </w:tr>
      <w:tr>
        <w:tblPrEx>
          <w:tblBorders>
            <w:top w:val="single" w:color="000000" w:themeColor="text1" w:sz="12" w:space="0"/>
            <w:left w:val="none" w:color="auto" w:sz="0" w:space="0"/>
            <w:bottom w:val="single" w:color="000000" w:themeColor="text1" w:sz="12"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c>
          <w:tcPr>
            <w:tcW w:w="1420" w:type="dxa"/>
            <w:vMerge w:val="continue"/>
            <w:tcBorders>
              <w:top w:val="nil"/>
              <w:bottom w:val="nil"/>
            </w:tcBorders>
            <w:vAlign w:val="center"/>
          </w:tcPr>
          <w:p>
            <w:pPr>
              <w:spacing w:after="0"/>
              <w:jc w:val="center"/>
              <w:rPr>
                <w:rFonts w:ascii="宋体" w:hAnsi="宋体" w:eastAsia="宋体" w:cs="Times New Roman"/>
                <w:sz w:val="18"/>
                <w:szCs w:val="18"/>
              </w:rPr>
            </w:pPr>
          </w:p>
        </w:tc>
        <w:tc>
          <w:tcPr>
            <w:tcW w:w="1420" w:type="dxa"/>
            <w:tcBorders>
              <w:top w:val="nil"/>
              <w:bottom w:val="nil"/>
              <w:right w:val="single" w:color="000000" w:themeColor="text1" w:sz="4" w:space="0"/>
            </w:tcBorders>
            <w:vAlign w:val="center"/>
          </w:tcPr>
          <w:p>
            <w:pPr>
              <w:spacing w:after="0"/>
              <w:rPr>
                <w:rFonts w:ascii="宋体" w:hAnsi="宋体" w:eastAsia="宋体" w:cs="Times New Roman"/>
                <w:sz w:val="18"/>
                <w:szCs w:val="18"/>
              </w:rPr>
            </w:pPr>
            <w:r>
              <w:rPr>
                <w:rFonts w:hint="eastAsia" w:ascii="宋体" w:hAnsi="宋体" w:eastAsia="宋体" w:cs="Times New Roman"/>
                <w:sz w:val="18"/>
                <w:szCs w:val="18"/>
              </w:rPr>
              <w:t>泊位通过能力</w:t>
            </w:r>
          </w:p>
        </w:tc>
        <w:tc>
          <w:tcPr>
            <w:tcW w:w="1420" w:type="dxa"/>
            <w:vMerge w:val="continue"/>
            <w:tcBorders>
              <w:top w:val="nil"/>
              <w:left w:val="single" w:color="000000" w:themeColor="text1" w:sz="4" w:space="0"/>
              <w:bottom w:val="nil"/>
            </w:tcBorders>
            <w:vAlign w:val="center"/>
          </w:tcPr>
          <w:p>
            <w:pPr>
              <w:spacing w:after="0"/>
              <w:jc w:val="center"/>
              <w:rPr>
                <w:rFonts w:ascii="宋体" w:hAnsi="宋体" w:eastAsia="宋体" w:cs="Times New Roman"/>
                <w:sz w:val="18"/>
                <w:szCs w:val="18"/>
              </w:rPr>
            </w:pPr>
          </w:p>
        </w:tc>
        <w:tc>
          <w:tcPr>
            <w:tcW w:w="1420" w:type="dxa"/>
            <w:tcBorders>
              <w:top w:val="nil"/>
              <w:bottom w:val="nil"/>
              <w:right w:val="single" w:color="000000" w:themeColor="text1" w:sz="4" w:space="0"/>
            </w:tcBorders>
            <w:vAlign w:val="center"/>
          </w:tcPr>
          <w:p>
            <w:pPr>
              <w:spacing w:after="0"/>
              <w:rPr>
                <w:rFonts w:ascii="宋体" w:hAnsi="宋体" w:eastAsia="宋体" w:cs="Times New Roman"/>
                <w:sz w:val="18"/>
                <w:szCs w:val="18"/>
              </w:rPr>
            </w:pPr>
            <w:r>
              <w:rPr>
                <w:rFonts w:hint="eastAsia" w:ascii="宋体" w:hAnsi="宋体" w:eastAsia="宋体" w:cs="Times New Roman"/>
                <w:sz w:val="18"/>
                <w:szCs w:val="18"/>
              </w:rPr>
              <w:t>港口外贸吞吐量</w:t>
            </w:r>
          </w:p>
        </w:tc>
        <w:tc>
          <w:tcPr>
            <w:tcW w:w="1421" w:type="dxa"/>
            <w:vMerge w:val="continue"/>
            <w:tcBorders>
              <w:top w:val="nil"/>
              <w:left w:val="single" w:color="000000" w:themeColor="text1" w:sz="4" w:space="0"/>
              <w:bottom w:val="single" w:color="000000" w:themeColor="text1" w:sz="4" w:space="0"/>
            </w:tcBorders>
            <w:vAlign w:val="center"/>
          </w:tcPr>
          <w:p>
            <w:pPr>
              <w:spacing w:after="0"/>
              <w:jc w:val="center"/>
              <w:rPr>
                <w:rFonts w:ascii="宋体" w:hAnsi="宋体" w:eastAsia="宋体" w:cs="Times New Roman"/>
                <w:sz w:val="18"/>
                <w:szCs w:val="18"/>
              </w:rPr>
            </w:pPr>
          </w:p>
        </w:tc>
        <w:tc>
          <w:tcPr>
            <w:tcW w:w="1421" w:type="dxa"/>
            <w:vMerge w:val="continue"/>
            <w:tcBorders>
              <w:top w:val="nil"/>
              <w:bottom w:val="single" w:color="000000" w:themeColor="text1" w:sz="4" w:space="0"/>
            </w:tcBorders>
            <w:vAlign w:val="center"/>
          </w:tcPr>
          <w:p>
            <w:pPr>
              <w:rPr>
                <w:rFonts w:ascii="宋体" w:hAnsi="宋体" w:eastAsia="宋体" w:cs="Times New Roman"/>
                <w:sz w:val="18"/>
                <w:szCs w:val="18"/>
              </w:rPr>
            </w:pPr>
          </w:p>
        </w:tc>
      </w:tr>
      <w:tr>
        <w:tblPrEx>
          <w:tblBorders>
            <w:top w:val="single" w:color="000000" w:themeColor="text1" w:sz="12" w:space="0"/>
            <w:left w:val="none" w:color="auto" w:sz="0" w:space="0"/>
            <w:bottom w:val="single" w:color="000000" w:themeColor="text1" w:sz="12"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c>
          <w:tcPr>
            <w:tcW w:w="1420" w:type="dxa"/>
            <w:vMerge w:val="continue"/>
            <w:tcBorders>
              <w:top w:val="nil"/>
              <w:bottom w:val="single" w:color="000000" w:themeColor="text1" w:sz="4" w:space="0"/>
            </w:tcBorders>
            <w:vAlign w:val="center"/>
          </w:tcPr>
          <w:p>
            <w:pPr>
              <w:spacing w:after="0"/>
              <w:jc w:val="center"/>
              <w:rPr>
                <w:rFonts w:ascii="宋体" w:hAnsi="宋体" w:eastAsia="宋体" w:cs="Times New Roman"/>
                <w:sz w:val="18"/>
                <w:szCs w:val="18"/>
              </w:rPr>
            </w:pPr>
          </w:p>
        </w:tc>
        <w:tc>
          <w:tcPr>
            <w:tcW w:w="1420" w:type="dxa"/>
            <w:tcBorders>
              <w:top w:val="nil"/>
              <w:bottom w:val="single" w:color="000000" w:themeColor="text1" w:sz="4" w:space="0"/>
              <w:right w:val="single" w:color="000000" w:themeColor="text1" w:sz="4" w:space="0"/>
            </w:tcBorders>
            <w:vAlign w:val="center"/>
          </w:tcPr>
          <w:p>
            <w:pPr>
              <w:spacing w:after="0"/>
              <w:rPr>
                <w:rFonts w:ascii="宋体" w:hAnsi="宋体" w:eastAsia="宋体" w:cs="Times New Roman"/>
                <w:sz w:val="18"/>
                <w:szCs w:val="18"/>
              </w:rPr>
            </w:pPr>
            <w:r>
              <w:rPr>
                <w:rFonts w:hint="eastAsia" w:ascii="宋体" w:hAnsi="宋体" w:eastAsia="宋体" w:cs="Times New Roman"/>
                <w:sz w:val="18"/>
                <w:szCs w:val="18"/>
              </w:rPr>
              <w:t>主航道水深</w:t>
            </w:r>
          </w:p>
        </w:tc>
        <w:tc>
          <w:tcPr>
            <w:tcW w:w="1420" w:type="dxa"/>
            <w:vMerge w:val="continue"/>
            <w:tcBorders>
              <w:top w:val="nil"/>
              <w:left w:val="single" w:color="000000" w:themeColor="text1" w:sz="4" w:space="0"/>
              <w:bottom w:val="nil"/>
            </w:tcBorders>
            <w:vAlign w:val="center"/>
          </w:tcPr>
          <w:p>
            <w:pPr>
              <w:spacing w:after="0"/>
              <w:jc w:val="center"/>
              <w:rPr>
                <w:rFonts w:ascii="宋体" w:hAnsi="宋体" w:eastAsia="宋体" w:cs="Times New Roman"/>
                <w:sz w:val="18"/>
                <w:szCs w:val="18"/>
              </w:rPr>
            </w:pPr>
          </w:p>
        </w:tc>
        <w:tc>
          <w:tcPr>
            <w:tcW w:w="1420" w:type="dxa"/>
            <w:tcBorders>
              <w:top w:val="nil"/>
              <w:bottom w:val="nil"/>
              <w:right w:val="single" w:color="000000" w:themeColor="text1" w:sz="4" w:space="0"/>
            </w:tcBorders>
            <w:vAlign w:val="center"/>
          </w:tcPr>
          <w:p>
            <w:pPr>
              <w:spacing w:after="0"/>
              <w:rPr>
                <w:rFonts w:ascii="宋体" w:hAnsi="宋体" w:eastAsia="宋体" w:cs="Times New Roman"/>
                <w:sz w:val="18"/>
                <w:szCs w:val="18"/>
              </w:rPr>
            </w:pPr>
            <w:r>
              <w:rPr>
                <w:rFonts w:hint="eastAsia" w:ascii="宋体" w:hAnsi="宋体" w:eastAsia="宋体" w:cs="Times New Roman"/>
                <w:sz w:val="18"/>
                <w:szCs w:val="18"/>
              </w:rPr>
              <w:t>港口集装箱吞吐量</w:t>
            </w:r>
          </w:p>
        </w:tc>
        <w:tc>
          <w:tcPr>
            <w:tcW w:w="1421" w:type="dxa"/>
            <w:vMerge w:val="continue"/>
            <w:tcBorders>
              <w:top w:val="nil"/>
              <w:left w:val="single" w:color="000000" w:themeColor="text1" w:sz="4" w:space="0"/>
              <w:bottom w:val="single" w:color="000000" w:themeColor="text1" w:sz="4" w:space="0"/>
            </w:tcBorders>
            <w:vAlign w:val="center"/>
          </w:tcPr>
          <w:p>
            <w:pPr>
              <w:spacing w:after="0"/>
              <w:jc w:val="center"/>
              <w:rPr>
                <w:rFonts w:ascii="宋体" w:hAnsi="宋体" w:eastAsia="宋体" w:cs="Times New Roman"/>
                <w:sz w:val="18"/>
                <w:szCs w:val="18"/>
              </w:rPr>
            </w:pPr>
          </w:p>
        </w:tc>
        <w:tc>
          <w:tcPr>
            <w:tcW w:w="1421" w:type="dxa"/>
            <w:vMerge w:val="continue"/>
            <w:tcBorders>
              <w:top w:val="nil"/>
              <w:bottom w:val="single" w:color="000000" w:themeColor="text1" w:sz="4" w:space="0"/>
            </w:tcBorders>
            <w:vAlign w:val="center"/>
          </w:tcPr>
          <w:p>
            <w:pPr>
              <w:rPr>
                <w:rFonts w:ascii="宋体" w:hAnsi="宋体" w:eastAsia="宋体" w:cs="Times New Roman"/>
                <w:sz w:val="18"/>
                <w:szCs w:val="18"/>
              </w:rPr>
            </w:pPr>
          </w:p>
        </w:tc>
      </w:tr>
      <w:tr>
        <w:tblPrEx>
          <w:tblBorders>
            <w:top w:val="single" w:color="000000" w:themeColor="text1" w:sz="12" w:space="0"/>
            <w:left w:val="none" w:color="auto" w:sz="0" w:space="0"/>
            <w:bottom w:val="single" w:color="000000" w:themeColor="text1" w:sz="12"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c>
          <w:tcPr>
            <w:tcW w:w="1420" w:type="dxa"/>
            <w:vMerge w:val="restart"/>
            <w:tcBorders>
              <w:top w:val="single" w:color="000000" w:themeColor="text1" w:sz="4" w:space="0"/>
              <w:bottom w:val="nil"/>
            </w:tcBorders>
            <w:vAlign w:val="center"/>
          </w:tcPr>
          <w:p>
            <w:pPr>
              <w:spacing w:after="0"/>
              <w:jc w:val="center"/>
              <w:rPr>
                <w:rFonts w:ascii="宋体" w:hAnsi="宋体" w:eastAsia="宋体" w:cs="Times New Roman"/>
                <w:sz w:val="18"/>
                <w:szCs w:val="18"/>
              </w:rPr>
            </w:pPr>
            <w:r>
              <w:rPr>
                <w:rFonts w:hint="eastAsia" w:ascii="宋体" w:hAnsi="宋体" w:eastAsia="宋体" w:cs="Times New Roman"/>
                <w:sz w:val="18"/>
                <w:szCs w:val="18"/>
              </w:rPr>
              <w:t>港口投资规模因子</w:t>
            </w:r>
          </w:p>
        </w:tc>
        <w:tc>
          <w:tcPr>
            <w:tcW w:w="1420" w:type="dxa"/>
            <w:tcBorders>
              <w:top w:val="single" w:color="000000" w:themeColor="text1" w:sz="4" w:space="0"/>
              <w:bottom w:val="nil"/>
              <w:right w:val="single" w:color="000000" w:themeColor="text1" w:sz="4" w:space="0"/>
            </w:tcBorders>
            <w:vAlign w:val="center"/>
          </w:tcPr>
          <w:p>
            <w:pPr>
              <w:spacing w:after="0"/>
              <w:rPr>
                <w:rFonts w:ascii="宋体" w:hAnsi="宋体" w:eastAsia="宋体" w:cs="Times New Roman"/>
                <w:sz w:val="18"/>
                <w:szCs w:val="18"/>
              </w:rPr>
            </w:pPr>
            <w:r>
              <w:rPr>
                <w:rFonts w:hint="eastAsia" w:ascii="宋体" w:hAnsi="宋体" w:eastAsia="宋体" w:cs="Times New Roman"/>
                <w:sz w:val="18"/>
                <w:szCs w:val="18"/>
              </w:rPr>
              <w:t>仓库面积</w:t>
            </w:r>
          </w:p>
        </w:tc>
        <w:tc>
          <w:tcPr>
            <w:tcW w:w="1420" w:type="dxa"/>
            <w:vMerge w:val="continue"/>
            <w:tcBorders>
              <w:top w:val="nil"/>
              <w:left w:val="single" w:color="000000" w:themeColor="text1" w:sz="4" w:space="0"/>
              <w:bottom w:val="single" w:color="000000" w:themeColor="text1" w:sz="4" w:space="0"/>
            </w:tcBorders>
            <w:vAlign w:val="center"/>
          </w:tcPr>
          <w:p>
            <w:pPr>
              <w:spacing w:after="0"/>
              <w:jc w:val="center"/>
              <w:rPr>
                <w:rFonts w:ascii="宋体" w:hAnsi="宋体" w:eastAsia="宋体" w:cs="Times New Roman"/>
                <w:sz w:val="18"/>
                <w:szCs w:val="18"/>
              </w:rPr>
            </w:pPr>
          </w:p>
        </w:tc>
        <w:tc>
          <w:tcPr>
            <w:tcW w:w="1420" w:type="dxa"/>
            <w:tcBorders>
              <w:top w:val="nil"/>
              <w:bottom w:val="single" w:color="000000" w:themeColor="text1" w:sz="4" w:space="0"/>
              <w:right w:val="single" w:color="000000" w:themeColor="text1" w:sz="4" w:space="0"/>
            </w:tcBorders>
            <w:vAlign w:val="center"/>
          </w:tcPr>
          <w:p>
            <w:pPr>
              <w:spacing w:after="0"/>
              <w:rPr>
                <w:rFonts w:ascii="宋体" w:hAnsi="宋体" w:eastAsia="宋体" w:cs="Times New Roman"/>
                <w:sz w:val="18"/>
                <w:szCs w:val="18"/>
              </w:rPr>
            </w:pPr>
            <w:r>
              <w:rPr>
                <w:rFonts w:hint="eastAsia" w:ascii="宋体" w:hAnsi="宋体" w:eastAsia="宋体" w:cs="Times New Roman"/>
                <w:sz w:val="18"/>
                <w:szCs w:val="18"/>
              </w:rPr>
              <w:t>机械作业效率</w:t>
            </w:r>
          </w:p>
        </w:tc>
        <w:tc>
          <w:tcPr>
            <w:tcW w:w="1421" w:type="dxa"/>
            <w:vMerge w:val="continue"/>
            <w:tcBorders>
              <w:top w:val="nil"/>
              <w:left w:val="single" w:color="000000" w:themeColor="text1" w:sz="4" w:space="0"/>
              <w:bottom w:val="single" w:color="000000" w:themeColor="text1" w:sz="4" w:space="0"/>
            </w:tcBorders>
            <w:vAlign w:val="center"/>
          </w:tcPr>
          <w:p>
            <w:pPr>
              <w:spacing w:after="0"/>
              <w:jc w:val="center"/>
              <w:rPr>
                <w:rFonts w:ascii="宋体" w:hAnsi="宋体" w:eastAsia="宋体" w:cs="Times New Roman"/>
                <w:sz w:val="18"/>
                <w:szCs w:val="18"/>
              </w:rPr>
            </w:pPr>
          </w:p>
        </w:tc>
        <w:tc>
          <w:tcPr>
            <w:tcW w:w="1421" w:type="dxa"/>
            <w:vMerge w:val="continue"/>
            <w:tcBorders>
              <w:top w:val="nil"/>
              <w:bottom w:val="single" w:color="000000" w:themeColor="text1" w:sz="4" w:space="0"/>
            </w:tcBorders>
            <w:vAlign w:val="center"/>
          </w:tcPr>
          <w:p>
            <w:pPr>
              <w:spacing w:after="0"/>
              <w:rPr>
                <w:rFonts w:ascii="宋体" w:hAnsi="宋体" w:eastAsia="宋体" w:cs="Times New Roman"/>
                <w:sz w:val="18"/>
                <w:szCs w:val="18"/>
              </w:rPr>
            </w:pPr>
          </w:p>
        </w:tc>
      </w:tr>
      <w:tr>
        <w:tblPrEx>
          <w:tblBorders>
            <w:top w:val="single" w:color="000000" w:themeColor="text1" w:sz="12" w:space="0"/>
            <w:left w:val="none" w:color="auto" w:sz="0" w:space="0"/>
            <w:bottom w:val="single" w:color="000000" w:themeColor="text1" w:sz="12"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c>
          <w:tcPr>
            <w:tcW w:w="1420" w:type="dxa"/>
            <w:vMerge w:val="continue"/>
            <w:tcBorders>
              <w:top w:val="nil"/>
              <w:bottom w:val="nil"/>
            </w:tcBorders>
            <w:vAlign w:val="center"/>
          </w:tcPr>
          <w:p>
            <w:pPr>
              <w:spacing w:after="0"/>
              <w:jc w:val="center"/>
              <w:rPr>
                <w:rFonts w:ascii="宋体" w:hAnsi="宋体" w:eastAsia="宋体" w:cs="Times New Roman"/>
                <w:sz w:val="18"/>
                <w:szCs w:val="18"/>
              </w:rPr>
            </w:pPr>
          </w:p>
        </w:tc>
        <w:tc>
          <w:tcPr>
            <w:tcW w:w="1420" w:type="dxa"/>
            <w:tcBorders>
              <w:top w:val="nil"/>
              <w:bottom w:val="nil"/>
              <w:right w:val="single" w:color="000000" w:themeColor="text1" w:sz="4" w:space="0"/>
            </w:tcBorders>
            <w:vAlign w:val="center"/>
          </w:tcPr>
          <w:p>
            <w:pPr>
              <w:spacing w:after="0"/>
              <w:rPr>
                <w:rFonts w:ascii="宋体" w:hAnsi="宋体" w:eastAsia="宋体" w:cs="Times New Roman"/>
                <w:sz w:val="18"/>
                <w:szCs w:val="18"/>
              </w:rPr>
            </w:pPr>
            <w:r>
              <w:rPr>
                <w:rFonts w:hint="eastAsia" w:ascii="宋体" w:hAnsi="宋体" w:eastAsia="宋体" w:cs="Times New Roman"/>
                <w:sz w:val="18"/>
                <w:szCs w:val="18"/>
              </w:rPr>
              <w:t>堆场面积</w:t>
            </w:r>
          </w:p>
        </w:tc>
        <w:tc>
          <w:tcPr>
            <w:tcW w:w="1420" w:type="dxa"/>
            <w:vMerge w:val="restart"/>
            <w:tcBorders>
              <w:top w:val="single" w:color="000000" w:themeColor="text1" w:sz="4" w:space="0"/>
              <w:left w:val="single" w:color="000000" w:themeColor="text1" w:sz="4" w:space="0"/>
              <w:bottom w:val="single" w:color="000000" w:themeColor="text1" w:sz="4" w:space="0"/>
            </w:tcBorders>
            <w:vAlign w:val="center"/>
          </w:tcPr>
          <w:p>
            <w:pPr>
              <w:spacing w:after="0"/>
              <w:jc w:val="center"/>
              <w:rPr>
                <w:rFonts w:ascii="宋体" w:hAnsi="宋体" w:eastAsia="宋体" w:cs="Times New Roman"/>
                <w:sz w:val="18"/>
                <w:szCs w:val="18"/>
              </w:rPr>
            </w:pPr>
            <w:r>
              <w:rPr>
                <w:rFonts w:hint="eastAsia" w:ascii="宋体" w:hAnsi="宋体" w:eastAsia="宋体" w:cs="Times New Roman"/>
                <w:sz w:val="18"/>
                <w:szCs w:val="18"/>
              </w:rPr>
              <w:t>港口作业时间因子</w:t>
            </w:r>
          </w:p>
        </w:tc>
        <w:tc>
          <w:tcPr>
            <w:tcW w:w="1420" w:type="dxa"/>
            <w:vMerge w:val="restart"/>
            <w:tcBorders>
              <w:top w:val="single" w:color="000000" w:themeColor="text1" w:sz="4" w:space="0"/>
              <w:bottom w:val="single" w:color="000000" w:themeColor="text1" w:sz="4" w:space="0"/>
              <w:right w:val="single" w:color="000000" w:themeColor="text1" w:sz="4" w:space="0"/>
            </w:tcBorders>
            <w:vAlign w:val="center"/>
          </w:tcPr>
          <w:p>
            <w:pPr>
              <w:spacing w:after="0"/>
              <w:rPr>
                <w:rFonts w:ascii="宋体" w:hAnsi="宋体" w:eastAsia="宋体" w:cs="Times New Roman"/>
                <w:sz w:val="18"/>
                <w:szCs w:val="18"/>
              </w:rPr>
            </w:pPr>
            <w:r>
              <w:rPr>
                <w:rFonts w:hint="eastAsia" w:ascii="宋体" w:hAnsi="宋体" w:eastAsia="宋体" w:cs="Times New Roman"/>
                <w:sz w:val="18"/>
                <w:szCs w:val="18"/>
              </w:rPr>
              <w:t>年作业天数</w:t>
            </w:r>
          </w:p>
        </w:tc>
        <w:tc>
          <w:tcPr>
            <w:tcW w:w="1421" w:type="dxa"/>
            <w:vMerge w:val="continue"/>
            <w:tcBorders>
              <w:top w:val="nil"/>
              <w:left w:val="single" w:color="000000" w:themeColor="text1" w:sz="4" w:space="0"/>
              <w:bottom w:val="single" w:color="000000" w:themeColor="text1" w:sz="4" w:space="0"/>
            </w:tcBorders>
            <w:vAlign w:val="center"/>
          </w:tcPr>
          <w:p>
            <w:pPr>
              <w:spacing w:after="0"/>
              <w:jc w:val="center"/>
              <w:rPr>
                <w:rFonts w:ascii="宋体" w:hAnsi="宋体" w:eastAsia="宋体" w:cs="Times New Roman"/>
                <w:sz w:val="18"/>
                <w:szCs w:val="18"/>
              </w:rPr>
            </w:pPr>
          </w:p>
        </w:tc>
        <w:tc>
          <w:tcPr>
            <w:tcW w:w="1421" w:type="dxa"/>
            <w:vMerge w:val="continue"/>
            <w:tcBorders>
              <w:top w:val="nil"/>
              <w:bottom w:val="single" w:color="000000" w:themeColor="text1" w:sz="4" w:space="0"/>
            </w:tcBorders>
            <w:vAlign w:val="center"/>
          </w:tcPr>
          <w:p>
            <w:pPr>
              <w:spacing w:after="0"/>
              <w:rPr>
                <w:rFonts w:ascii="宋体" w:hAnsi="宋体" w:eastAsia="宋体" w:cs="Times New Roman"/>
                <w:sz w:val="18"/>
                <w:szCs w:val="18"/>
              </w:rPr>
            </w:pPr>
          </w:p>
        </w:tc>
      </w:tr>
      <w:tr>
        <w:tblPrEx>
          <w:tblBorders>
            <w:top w:val="single" w:color="000000" w:themeColor="text1" w:sz="12" w:space="0"/>
            <w:left w:val="none" w:color="auto" w:sz="0" w:space="0"/>
            <w:bottom w:val="single" w:color="000000" w:themeColor="text1" w:sz="12"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c>
          <w:tcPr>
            <w:tcW w:w="1420" w:type="dxa"/>
            <w:vMerge w:val="continue"/>
            <w:tcBorders>
              <w:top w:val="nil"/>
              <w:bottom w:val="single" w:color="000000" w:themeColor="text1" w:sz="4" w:space="0"/>
            </w:tcBorders>
            <w:vAlign w:val="center"/>
          </w:tcPr>
          <w:p>
            <w:pPr>
              <w:spacing w:after="0"/>
              <w:jc w:val="center"/>
              <w:rPr>
                <w:rFonts w:ascii="宋体" w:hAnsi="宋体" w:eastAsia="宋体" w:cs="Times New Roman"/>
                <w:sz w:val="18"/>
                <w:szCs w:val="18"/>
              </w:rPr>
            </w:pPr>
          </w:p>
        </w:tc>
        <w:tc>
          <w:tcPr>
            <w:tcW w:w="1420" w:type="dxa"/>
            <w:tcBorders>
              <w:top w:val="nil"/>
              <w:bottom w:val="single" w:color="000000" w:themeColor="text1" w:sz="4" w:space="0"/>
              <w:right w:val="single" w:color="000000" w:themeColor="text1" w:sz="4" w:space="0"/>
            </w:tcBorders>
            <w:vAlign w:val="center"/>
          </w:tcPr>
          <w:p>
            <w:pPr>
              <w:spacing w:after="0"/>
              <w:rPr>
                <w:rFonts w:ascii="宋体" w:hAnsi="宋体" w:eastAsia="宋体" w:cs="Times New Roman"/>
                <w:sz w:val="18"/>
                <w:szCs w:val="18"/>
              </w:rPr>
            </w:pPr>
            <w:r>
              <w:rPr>
                <w:rFonts w:hint="eastAsia" w:ascii="宋体" w:hAnsi="宋体" w:eastAsia="宋体" w:cs="Times New Roman"/>
                <w:sz w:val="18"/>
                <w:szCs w:val="18"/>
              </w:rPr>
              <w:t>港口投资额</w:t>
            </w:r>
          </w:p>
        </w:tc>
        <w:tc>
          <w:tcPr>
            <w:tcW w:w="1420" w:type="dxa"/>
            <w:vMerge w:val="continue"/>
            <w:tcBorders>
              <w:top w:val="nil"/>
              <w:left w:val="single" w:color="000000" w:themeColor="text1" w:sz="4" w:space="0"/>
              <w:bottom w:val="single" w:color="000000" w:themeColor="text1" w:sz="4" w:space="0"/>
            </w:tcBorders>
            <w:vAlign w:val="center"/>
          </w:tcPr>
          <w:p>
            <w:pPr>
              <w:spacing w:after="0"/>
              <w:jc w:val="center"/>
              <w:rPr>
                <w:rFonts w:ascii="宋体" w:hAnsi="宋体" w:eastAsia="宋体" w:cs="Times New Roman"/>
                <w:sz w:val="18"/>
                <w:szCs w:val="18"/>
              </w:rPr>
            </w:pPr>
          </w:p>
        </w:tc>
        <w:tc>
          <w:tcPr>
            <w:tcW w:w="1420" w:type="dxa"/>
            <w:vMerge w:val="continue"/>
            <w:tcBorders>
              <w:top w:val="nil"/>
              <w:bottom w:val="single" w:color="000000" w:themeColor="text1" w:sz="4" w:space="0"/>
              <w:right w:val="single" w:color="000000" w:themeColor="text1" w:sz="4" w:space="0"/>
            </w:tcBorders>
            <w:vAlign w:val="center"/>
          </w:tcPr>
          <w:p>
            <w:pPr>
              <w:spacing w:after="0"/>
              <w:rPr>
                <w:rFonts w:ascii="宋体" w:hAnsi="宋体" w:eastAsia="宋体" w:cs="Times New Roman"/>
                <w:sz w:val="18"/>
                <w:szCs w:val="18"/>
              </w:rPr>
            </w:pPr>
          </w:p>
        </w:tc>
        <w:tc>
          <w:tcPr>
            <w:tcW w:w="1421" w:type="dxa"/>
            <w:vMerge w:val="restart"/>
            <w:tcBorders>
              <w:top w:val="single" w:color="000000" w:themeColor="text1" w:sz="4" w:space="0"/>
              <w:left w:val="single" w:color="000000" w:themeColor="text1" w:sz="4" w:space="0"/>
            </w:tcBorders>
            <w:vAlign w:val="center"/>
          </w:tcPr>
          <w:p>
            <w:pPr>
              <w:jc w:val="center"/>
              <w:rPr>
                <w:rFonts w:ascii="宋体" w:hAnsi="宋体" w:eastAsia="宋体" w:cs="Times New Roman"/>
                <w:sz w:val="18"/>
                <w:szCs w:val="18"/>
              </w:rPr>
            </w:pPr>
            <w:r>
              <w:rPr>
                <w:rFonts w:hint="eastAsia" w:ascii="宋体" w:hAnsi="宋体" w:eastAsia="宋体" w:cs="Times New Roman"/>
                <w:sz w:val="18"/>
                <w:szCs w:val="18"/>
              </w:rPr>
              <w:t>港口交通环境因子</w:t>
            </w:r>
          </w:p>
        </w:tc>
        <w:tc>
          <w:tcPr>
            <w:tcW w:w="1421" w:type="dxa"/>
            <w:vMerge w:val="restart"/>
            <w:tcBorders>
              <w:top w:val="single" w:color="000000" w:themeColor="text1" w:sz="4" w:space="0"/>
            </w:tcBorders>
            <w:vAlign w:val="bottom"/>
          </w:tcPr>
          <w:p>
            <w:pPr>
              <w:spacing w:after="0"/>
              <w:rPr>
                <w:rFonts w:ascii="宋体" w:hAnsi="宋体" w:eastAsia="宋体" w:cs="Times New Roman"/>
                <w:sz w:val="18"/>
                <w:szCs w:val="18"/>
              </w:rPr>
            </w:pPr>
            <w:r>
              <w:rPr>
                <w:rFonts w:hint="eastAsia" w:ascii="宋体" w:hAnsi="宋体" w:eastAsia="宋体" w:cs="Times New Roman"/>
                <w:sz w:val="18"/>
                <w:szCs w:val="18"/>
              </w:rPr>
              <w:t>公路线路里程</w:t>
            </w:r>
          </w:p>
          <w:p>
            <w:pPr>
              <w:rPr>
                <w:rFonts w:ascii="宋体" w:hAnsi="宋体" w:eastAsia="宋体" w:cs="Times New Roman"/>
                <w:sz w:val="18"/>
                <w:szCs w:val="18"/>
              </w:rPr>
            </w:pPr>
            <w:r>
              <w:rPr>
                <w:rFonts w:hint="eastAsia" w:ascii="宋体" w:hAnsi="宋体" w:eastAsia="宋体" w:cs="Times New Roman"/>
                <w:sz w:val="18"/>
                <w:szCs w:val="18"/>
              </w:rPr>
              <w:t>内河航道里程</w:t>
            </w:r>
          </w:p>
        </w:tc>
      </w:tr>
      <w:tr>
        <w:tblPrEx>
          <w:tblBorders>
            <w:top w:val="single" w:color="000000" w:themeColor="text1" w:sz="12" w:space="0"/>
            <w:left w:val="none" w:color="auto" w:sz="0" w:space="0"/>
            <w:bottom w:val="single" w:color="000000" w:themeColor="text1" w:sz="12"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c>
          <w:tcPr>
            <w:tcW w:w="1420" w:type="dxa"/>
            <w:vMerge w:val="restart"/>
            <w:tcBorders>
              <w:top w:val="single" w:color="000000" w:themeColor="text1" w:sz="4" w:space="0"/>
            </w:tcBorders>
            <w:vAlign w:val="center"/>
          </w:tcPr>
          <w:p>
            <w:pPr>
              <w:spacing w:after="0"/>
              <w:jc w:val="center"/>
              <w:rPr>
                <w:rFonts w:ascii="宋体" w:hAnsi="宋体" w:eastAsia="宋体" w:cs="Times New Roman"/>
                <w:sz w:val="18"/>
                <w:szCs w:val="18"/>
              </w:rPr>
            </w:pPr>
            <w:r>
              <w:rPr>
                <w:rFonts w:hint="eastAsia" w:ascii="宋体" w:hAnsi="宋体" w:eastAsia="宋体" w:cs="Times New Roman"/>
                <w:sz w:val="18"/>
                <w:szCs w:val="18"/>
              </w:rPr>
              <w:t>港口开发潜力因子</w:t>
            </w:r>
          </w:p>
        </w:tc>
        <w:tc>
          <w:tcPr>
            <w:tcW w:w="1420" w:type="dxa"/>
            <w:tcBorders>
              <w:top w:val="single" w:color="000000" w:themeColor="text1" w:sz="4" w:space="0"/>
              <w:right w:val="single" w:color="000000" w:themeColor="text1" w:sz="4" w:space="0"/>
            </w:tcBorders>
            <w:vAlign w:val="center"/>
          </w:tcPr>
          <w:p>
            <w:pPr>
              <w:spacing w:after="0"/>
              <w:rPr>
                <w:rFonts w:ascii="宋体" w:hAnsi="宋体" w:eastAsia="宋体" w:cs="Times New Roman"/>
                <w:sz w:val="18"/>
                <w:szCs w:val="18"/>
              </w:rPr>
            </w:pPr>
            <w:r>
              <w:rPr>
                <w:rFonts w:hint="eastAsia" w:ascii="宋体" w:hAnsi="宋体" w:eastAsia="宋体" w:cs="Times New Roman"/>
                <w:sz w:val="18"/>
                <w:szCs w:val="18"/>
              </w:rPr>
              <w:t>港口万吨泊位数</w:t>
            </w:r>
          </w:p>
        </w:tc>
        <w:tc>
          <w:tcPr>
            <w:tcW w:w="1420" w:type="dxa"/>
            <w:vMerge w:val="restart"/>
            <w:tcBorders>
              <w:top w:val="single" w:color="000000" w:themeColor="text1" w:sz="4" w:space="0"/>
              <w:left w:val="single" w:color="000000" w:themeColor="text1" w:sz="4" w:space="0"/>
            </w:tcBorders>
            <w:vAlign w:val="center"/>
          </w:tcPr>
          <w:p>
            <w:pPr>
              <w:spacing w:after="0"/>
              <w:jc w:val="center"/>
              <w:rPr>
                <w:rFonts w:ascii="宋体" w:hAnsi="宋体" w:eastAsia="宋体" w:cs="Times New Roman"/>
                <w:sz w:val="18"/>
                <w:szCs w:val="18"/>
              </w:rPr>
            </w:pPr>
            <w:r>
              <w:rPr>
                <w:rFonts w:hint="eastAsia" w:ascii="宋体" w:hAnsi="宋体" w:eastAsia="宋体" w:cs="Times New Roman"/>
                <w:sz w:val="18"/>
                <w:szCs w:val="18"/>
              </w:rPr>
              <w:t>港口航班规模因子</w:t>
            </w:r>
          </w:p>
        </w:tc>
        <w:tc>
          <w:tcPr>
            <w:tcW w:w="1420" w:type="dxa"/>
            <w:tcBorders>
              <w:top w:val="single" w:color="000000" w:themeColor="text1" w:sz="4" w:space="0"/>
              <w:right w:val="single" w:color="000000" w:themeColor="text1" w:sz="4" w:space="0"/>
            </w:tcBorders>
            <w:vAlign w:val="center"/>
          </w:tcPr>
          <w:p>
            <w:pPr>
              <w:spacing w:after="0"/>
              <w:rPr>
                <w:rFonts w:ascii="宋体" w:hAnsi="宋体" w:eastAsia="宋体" w:cs="Times New Roman"/>
                <w:sz w:val="18"/>
                <w:szCs w:val="18"/>
              </w:rPr>
            </w:pPr>
            <w:r>
              <w:rPr>
                <w:rFonts w:hint="eastAsia" w:ascii="宋体" w:hAnsi="宋体" w:eastAsia="宋体" w:cs="Times New Roman"/>
                <w:sz w:val="18"/>
                <w:szCs w:val="18"/>
              </w:rPr>
              <w:t>航班密度</w:t>
            </w:r>
          </w:p>
        </w:tc>
        <w:tc>
          <w:tcPr>
            <w:tcW w:w="1421" w:type="dxa"/>
            <w:vMerge w:val="continue"/>
            <w:tcBorders>
              <w:left w:val="single" w:color="000000" w:themeColor="text1" w:sz="4" w:space="0"/>
            </w:tcBorders>
            <w:vAlign w:val="center"/>
          </w:tcPr>
          <w:p>
            <w:pPr>
              <w:spacing w:after="0"/>
              <w:jc w:val="center"/>
              <w:rPr>
                <w:rFonts w:ascii="宋体" w:hAnsi="宋体" w:eastAsia="宋体" w:cs="Times New Roman"/>
                <w:sz w:val="18"/>
                <w:szCs w:val="18"/>
              </w:rPr>
            </w:pPr>
          </w:p>
        </w:tc>
        <w:tc>
          <w:tcPr>
            <w:tcW w:w="1421" w:type="dxa"/>
            <w:vMerge w:val="continue"/>
            <w:vAlign w:val="center"/>
          </w:tcPr>
          <w:p>
            <w:pPr>
              <w:jc w:val="center"/>
              <w:rPr>
                <w:rFonts w:ascii="宋体" w:hAnsi="宋体" w:eastAsia="宋体" w:cs="Times New Roman"/>
                <w:sz w:val="18"/>
                <w:szCs w:val="18"/>
              </w:rPr>
            </w:pPr>
          </w:p>
        </w:tc>
      </w:tr>
      <w:tr>
        <w:tblPrEx>
          <w:tblBorders>
            <w:top w:val="single" w:color="000000" w:themeColor="text1" w:sz="12" w:space="0"/>
            <w:left w:val="none" w:color="auto" w:sz="0" w:space="0"/>
            <w:bottom w:val="single" w:color="000000" w:themeColor="text1" w:sz="12"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c>
          <w:tcPr>
            <w:tcW w:w="1420" w:type="dxa"/>
            <w:vMerge w:val="continue"/>
            <w:tcBorders>
              <w:bottom w:val="single" w:color="000000" w:themeColor="text1" w:sz="12" w:space="0"/>
            </w:tcBorders>
            <w:vAlign w:val="center"/>
          </w:tcPr>
          <w:p>
            <w:pPr>
              <w:spacing w:after="0"/>
              <w:jc w:val="center"/>
              <w:rPr>
                <w:rFonts w:ascii="宋体" w:hAnsi="宋体" w:eastAsia="宋体" w:cs="Times New Roman"/>
                <w:sz w:val="18"/>
                <w:szCs w:val="18"/>
              </w:rPr>
            </w:pPr>
          </w:p>
        </w:tc>
        <w:tc>
          <w:tcPr>
            <w:tcW w:w="1420" w:type="dxa"/>
            <w:tcBorders>
              <w:bottom w:val="single" w:color="000000" w:themeColor="text1" w:sz="12" w:space="0"/>
              <w:right w:val="single" w:color="000000" w:themeColor="text1" w:sz="4" w:space="0"/>
            </w:tcBorders>
            <w:vAlign w:val="center"/>
          </w:tcPr>
          <w:p>
            <w:pPr>
              <w:spacing w:after="0"/>
              <w:rPr>
                <w:rFonts w:ascii="宋体" w:hAnsi="宋体" w:eastAsia="宋体" w:cs="Times New Roman"/>
                <w:sz w:val="18"/>
                <w:szCs w:val="18"/>
              </w:rPr>
            </w:pPr>
            <w:r>
              <w:rPr>
                <w:rFonts w:hint="eastAsia" w:ascii="宋体" w:hAnsi="宋体" w:eastAsia="宋体" w:cs="Times New Roman"/>
                <w:sz w:val="18"/>
                <w:szCs w:val="18"/>
              </w:rPr>
              <w:t>码头泊位长度</w:t>
            </w:r>
          </w:p>
        </w:tc>
        <w:tc>
          <w:tcPr>
            <w:tcW w:w="1420" w:type="dxa"/>
            <w:vMerge w:val="continue"/>
            <w:tcBorders>
              <w:left w:val="single" w:color="000000" w:themeColor="text1" w:sz="4" w:space="0"/>
              <w:bottom w:val="single" w:color="000000" w:themeColor="text1" w:sz="12" w:space="0"/>
            </w:tcBorders>
            <w:vAlign w:val="center"/>
          </w:tcPr>
          <w:p>
            <w:pPr>
              <w:spacing w:after="0"/>
              <w:jc w:val="center"/>
              <w:rPr>
                <w:rFonts w:ascii="宋体" w:hAnsi="宋体" w:eastAsia="宋体" w:cs="Times New Roman"/>
                <w:sz w:val="18"/>
                <w:szCs w:val="18"/>
              </w:rPr>
            </w:pPr>
          </w:p>
        </w:tc>
        <w:tc>
          <w:tcPr>
            <w:tcW w:w="1420" w:type="dxa"/>
            <w:tcBorders>
              <w:bottom w:val="single" w:color="000000" w:themeColor="text1" w:sz="12" w:space="0"/>
              <w:right w:val="single" w:color="000000" w:themeColor="text1" w:sz="4" w:space="0"/>
            </w:tcBorders>
            <w:vAlign w:val="center"/>
          </w:tcPr>
          <w:p>
            <w:pPr>
              <w:spacing w:after="0"/>
              <w:rPr>
                <w:rFonts w:ascii="宋体" w:hAnsi="宋体" w:eastAsia="宋体" w:cs="Times New Roman"/>
                <w:sz w:val="18"/>
                <w:szCs w:val="18"/>
              </w:rPr>
            </w:pPr>
            <w:r>
              <w:rPr>
                <w:rFonts w:hint="eastAsia" w:ascii="宋体" w:hAnsi="宋体" w:eastAsia="宋体" w:cs="Times New Roman"/>
                <w:sz w:val="18"/>
                <w:szCs w:val="18"/>
              </w:rPr>
              <w:t>航线覆盖面</w:t>
            </w:r>
          </w:p>
        </w:tc>
        <w:tc>
          <w:tcPr>
            <w:tcW w:w="1421" w:type="dxa"/>
            <w:vMerge w:val="continue"/>
            <w:tcBorders>
              <w:left w:val="single" w:color="000000" w:themeColor="text1" w:sz="4" w:space="0"/>
              <w:bottom w:val="single" w:color="000000" w:themeColor="text1" w:sz="12" w:space="0"/>
            </w:tcBorders>
            <w:vAlign w:val="center"/>
          </w:tcPr>
          <w:p>
            <w:pPr>
              <w:spacing w:after="0"/>
              <w:jc w:val="center"/>
              <w:rPr>
                <w:rFonts w:ascii="宋体" w:hAnsi="宋体" w:eastAsia="宋体" w:cs="Times New Roman"/>
                <w:sz w:val="18"/>
                <w:szCs w:val="18"/>
              </w:rPr>
            </w:pPr>
          </w:p>
        </w:tc>
        <w:tc>
          <w:tcPr>
            <w:tcW w:w="1421" w:type="dxa"/>
            <w:vMerge w:val="continue"/>
            <w:tcBorders>
              <w:bottom w:val="single" w:color="000000" w:themeColor="text1" w:sz="12" w:space="0"/>
            </w:tcBorders>
            <w:vAlign w:val="center"/>
          </w:tcPr>
          <w:p>
            <w:pPr>
              <w:spacing w:after="0"/>
              <w:jc w:val="center"/>
              <w:rPr>
                <w:rFonts w:ascii="宋体" w:hAnsi="宋体" w:eastAsia="宋体" w:cs="Times New Roman"/>
                <w:sz w:val="18"/>
                <w:szCs w:val="18"/>
              </w:rPr>
            </w:pPr>
          </w:p>
        </w:tc>
      </w:tr>
    </w:tbl>
    <w:p>
      <w:pPr>
        <w:pStyle w:val="2"/>
        <w:keepNext w:val="0"/>
        <w:keepLines w:val="0"/>
        <w:widowControl w:val="0"/>
        <w:spacing w:before="180"/>
      </w:pPr>
      <w:r>
        <w:rPr>
          <w:rFonts w:hint="eastAsia"/>
        </w:rPr>
        <w:t>4结论与对策</w:t>
      </w:r>
    </w:p>
    <w:p>
      <w:pPr>
        <w:pStyle w:val="19"/>
        <w:spacing w:after="0" w:line="400" w:lineRule="exact"/>
        <w:ind w:firstLine="0" w:firstLineChars="0"/>
        <w:rPr>
          <w:rFonts w:asciiTheme="minorEastAsia" w:hAnsiTheme="minorEastAsia" w:eastAsiaTheme="minorEastAsia"/>
          <w:sz w:val="21"/>
          <w:szCs w:val="21"/>
        </w:rPr>
      </w:pPr>
      <w:r>
        <w:rPr>
          <w:rFonts w:hint="eastAsia" w:asciiTheme="minorEastAsia" w:hAnsiTheme="minorEastAsia" w:eastAsiaTheme="minorEastAsia"/>
          <w:sz w:val="21"/>
          <w:szCs w:val="21"/>
        </w:rPr>
        <w:t>（1）实现资源集约，推动各港口错位发展</w:t>
      </w:r>
    </w:p>
    <w:p>
      <w:pPr>
        <w:spacing w:after="0" w:line="400" w:lineRule="exact"/>
        <w:ind w:firstLine="420" w:firstLineChars="200"/>
        <w:rPr>
          <w:rFonts w:asciiTheme="minorEastAsia" w:hAnsiTheme="minorEastAsia" w:eastAsiaTheme="minorEastAsia"/>
          <w:sz w:val="21"/>
          <w:szCs w:val="21"/>
        </w:rPr>
      </w:pPr>
      <w:r>
        <w:rPr>
          <w:rFonts w:hint="eastAsia" w:asciiTheme="minorEastAsia" w:hAnsiTheme="minorEastAsia" w:eastAsiaTheme="minorEastAsia"/>
          <w:sz w:val="21"/>
          <w:szCs w:val="21"/>
        </w:rPr>
        <w:t>江苏省港口众多，但存在港口分散，同行竞争恶劣，港口规模效益不显著等问题，因此要实现资源的集约化，优化港口布局，抓好重点港口的建设工作，明晰各港口以及各港区的定位与功能。明晰港口发展战略目标，建设发展“一区三港”，形成以南京区域性航运物流中心、</w:t>
      </w:r>
      <w:r>
        <w:rPr>
          <w:rFonts w:asciiTheme="minorEastAsia" w:hAnsiTheme="minorEastAsia" w:eastAsiaTheme="minorEastAsia"/>
          <w:sz w:val="21"/>
          <w:szCs w:val="21"/>
        </w:rPr>
        <w:t>长江南京以下江海联运港区</w:t>
      </w:r>
      <w:r>
        <w:rPr>
          <w:rFonts w:hint="eastAsia" w:asciiTheme="minorEastAsia" w:hAnsiTheme="minorEastAsia" w:eastAsiaTheme="minorEastAsia"/>
          <w:sz w:val="21"/>
          <w:szCs w:val="21"/>
        </w:rPr>
        <w:t>、连云港港区域性国际枢纽港、苏州太仓集装箱干线港为中心，发挥辐射带动能力，着力提升江苏省整体港口综合服务能力。推动各港口错位发展，避免类似低水平重复建设。</w:t>
      </w:r>
    </w:p>
    <w:p>
      <w:pPr>
        <w:spacing w:after="0" w:line="400" w:lineRule="exact"/>
        <w:rPr>
          <w:rFonts w:asciiTheme="minorEastAsia" w:hAnsiTheme="minorEastAsia" w:eastAsiaTheme="minorEastAsia"/>
          <w:b/>
          <w:bCs/>
          <w:sz w:val="21"/>
          <w:szCs w:val="21"/>
        </w:rPr>
      </w:pPr>
      <w:r>
        <w:rPr>
          <w:rFonts w:hint="eastAsia" w:asciiTheme="minorEastAsia" w:hAnsiTheme="minorEastAsia" w:eastAsiaTheme="minorEastAsia"/>
          <w:sz w:val="21"/>
          <w:szCs w:val="21"/>
        </w:rPr>
        <w:t>（2）</w:t>
      </w:r>
      <w:r>
        <w:rPr>
          <w:rFonts w:hint="eastAsia" w:asciiTheme="minorEastAsia" w:hAnsiTheme="minorEastAsia" w:eastAsiaTheme="minorEastAsia"/>
          <w:bCs/>
          <w:sz w:val="21"/>
          <w:szCs w:val="21"/>
        </w:rPr>
        <w:t>依托自身优势，加强港口职能分工</w:t>
      </w:r>
    </w:p>
    <w:p>
      <w:pPr>
        <w:spacing w:after="0" w:line="400" w:lineRule="exact"/>
        <w:ind w:firstLine="420" w:firstLineChars="200"/>
        <w:rPr>
          <w:rFonts w:asciiTheme="minorEastAsia" w:hAnsiTheme="minorEastAsia" w:eastAsiaTheme="minorEastAsia"/>
          <w:sz w:val="21"/>
          <w:szCs w:val="21"/>
        </w:rPr>
      </w:pPr>
      <w:r>
        <w:rPr>
          <w:rFonts w:hint="eastAsia" w:asciiTheme="minorEastAsia" w:hAnsiTheme="minorEastAsia" w:eastAsiaTheme="minorEastAsia"/>
          <w:sz w:val="21"/>
          <w:szCs w:val="21"/>
        </w:rPr>
        <w:t>各港口应根据沿江下水段江阔水深、上水段接近中上游中转腹地的港口条件和区位特点，结合所在城市的产业结构和临港产业发展布局，因地制宜、高低搭配、差异发展；加强职能分工，形成良性竞合机制。南京港要发挥其区域性航运物流中心的核心承载功能，延伸港口产业链，扩大腹地经济影响力，促进规模发展。连云港港要充分利用其优良的砂质海岸建港自然条件，发挥“一带－路”交汇点优势，打造成为中哈物流中转基地、东中西合作示范区和建设辐射全球的区域性国际枢纽港。南通港、镇江港应深化一体化改革，推进资源整合和经营管理一体化，发展江海河联动，改善港口规模效率，结合腹地发展形成有特色、有规模、综合竞争力强的综合性口岸。苏州港要充分利用高输出优势，集中发展太仓港区建设规模化的集装箱港区，结合南京港打造为上海国际航运中心北翼“双中心江港”。江阴港由于其规模与产出相平衡，历年均处于效率前沿面，因此继续保持并以发展海河联运和服务临港产业为主，为腹地城市发展外向型经济服务。</w:t>
      </w:r>
    </w:p>
    <w:p>
      <w:pPr>
        <w:spacing w:after="0" w:line="400" w:lineRule="exact"/>
        <w:ind w:firstLine="315" w:firstLineChars="150"/>
        <w:rPr>
          <w:rFonts w:asciiTheme="minorEastAsia" w:hAnsiTheme="minorEastAsia" w:eastAsiaTheme="minorEastAsia"/>
          <w:sz w:val="21"/>
          <w:szCs w:val="21"/>
        </w:rPr>
      </w:pPr>
      <w:r>
        <w:rPr>
          <w:rFonts w:hint="eastAsia" w:asciiTheme="minorEastAsia" w:hAnsiTheme="minorEastAsia" w:eastAsiaTheme="minorEastAsia"/>
          <w:sz w:val="21"/>
          <w:szCs w:val="21"/>
        </w:rPr>
        <w:t>（3）改善港口集疏运设施，完善港口融资体系</w:t>
      </w:r>
    </w:p>
    <w:p>
      <w:pPr>
        <w:pStyle w:val="20"/>
        <w:spacing w:after="0" w:line="400" w:lineRule="exact"/>
        <w:rPr>
          <w:rFonts w:asciiTheme="minorEastAsia" w:hAnsiTheme="minorEastAsia" w:eastAsiaTheme="minorEastAsia"/>
          <w:sz w:val="21"/>
          <w:szCs w:val="21"/>
        </w:rPr>
      </w:pPr>
      <w:r>
        <w:rPr>
          <w:rFonts w:hint="eastAsia" w:asciiTheme="minorEastAsia" w:hAnsiTheme="minorEastAsia" w:eastAsiaTheme="minorEastAsia"/>
          <w:sz w:val="21"/>
          <w:szCs w:val="21"/>
        </w:rPr>
        <w:t>港口腹地区位条件以及交通环境对港口的发展具有不可忽视的作用，因此对于连云港、南京、苏州等港口和重点港区，应加大港口集疏运设施的倾斜力度。加强进港铁路、公路以及内河航道的规划与建设，着力推进集装箱专业化港区疏港公路建设。全面实现长江南京以下12.5米深水航道全线贯通，推进部分重点港区通江达海的高等级内河航道建设，构建畅通高效的江海河联运网络。同时政府要在港口建设投资方面给予相应的政策扶持，以及监管与调控，鼓励和支持外资、民营等资本进入港口行业。</w:t>
      </w:r>
    </w:p>
    <w:p>
      <w:pPr>
        <w:pStyle w:val="2"/>
        <w:spacing w:before="180"/>
      </w:pPr>
      <w:r>
        <w:rPr>
          <w:rFonts w:hint="eastAsia"/>
        </w:rPr>
        <w:t>参考文献</w:t>
      </w:r>
    </w:p>
    <w:p>
      <w:pPr>
        <w:spacing w:after="0" w:line="400" w:lineRule="exact"/>
        <w:jc w:val="both"/>
        <w:rPr>
          <w:rFonts w:asciiTheme="minorEastAsia" w:hAnsiTheme="minorEastAsia" w:eastAsiaTheme="minorEastAsia"/>
          <w:sz w:val="21"/>
          <w:szCs w:val="21"/>
        </w:rPr>
      </w:pPr>
      <w:r>
        <w:rPr>
          <w:rFonts w:hint="eastAsia" w:asciiTheme="minorEastAsia" w:hAnsiTheme="minorEastAsia" w:eastAsiaTheme="minorEastAsia"/>
          <w:sz w:val="21"/>
          <w:szCs w:val="21"/>
        </w:rPr>
        <w:t>[1]</w:t>
      </w:r>
      <w:r>
        <w:rPr>
          <w:rFonts w:asciiTheme="minorEastAsia" w:hAnsiTheme="minorEastAsia" w:eastAsiaTheme="minorEastAsia"/>
          <w:sz w:val="21"/>
          <w:szCs w:val="21"/>
        </w:rPr>
        <w:t>Helen B.</w:t>
      </w:r>
      <w:r>
        <w:rPr>
          <w:rFonts w:hint="eastAsia" w:asciiTheme="minorEastAsia" w:hAnsiTheme="minorEastAsia" w:eastAsiaTheme="minorEastAsia"/>
          <w:sz w:val="21"/>
          <w:szCs w:val="21"/>
        </w:rPr>
        <w:t xml:space="preserve"> </w:t>
      </w:r>
      <w:r>
        <w:rPr>
          <w:rFonts w:asciiTheme="minorEastAsia" w:hAnsiTheme="minorEastAsia" w:eastAsiaTheme="minorEastAsia"/>
          <w:sz w:val="21"/>
          <w:szCs w:val="21"/>
        </w:rPr>
        <w:t>Bendall</w:t>
      </w:r>
      <w:r>
        <w:rPr>
          <w:rFonts w:hint="eastAsia" w:asciiTheme="minorEastAsia" w:hAnsiTheme="minorEastAsia" w:eastAsiaTheme="minorEastAsia"/>
          <w:sz w:val="21"/>
          <w:szCs w:val="21"/>
        </w:rPr>
        <w:t xml:space="preserve">, </w:t>
      </w:r>
      <w:r>
        <w:rPr>
          <w:rFonts w:asciiTheme="minorEastAsia" w:hAnsiTheme="minorEastAsia" w:eastAsiaTheme="minorEastAsia"/>
          <w:sz w:val="21"/>
          <w:szCs w:val="21"/>
        </w:rPr>
        <w:t>A.</w:t>
      </w:r>
      <w:r>
        <w:rPr>
          <w:rFonts w:hint="eastAsia" w:asciiTheme="minorEastAsia" w:hAnsiTheme="minorEastAsia" w:eastAsiaTheme="minorEastAsia"/>
          <w:sz w:val="21"/>
          <w:szCs w:val="21"/>
        </w:rPr>
        <w:t xml:space="preserve"> </w:t>
      </w:r>
      <w:r>
        <w:rPr>
          <w:rFonts w:asciiTheme="minorEastAsia" w:hAnsiTheme="minorEastAsia" w:eastAsiaTheme="minorEastAsia"/>
          <w:sz w:val="21"/>
          <w:szCs w:val="21"/>
        </w:rPr>
        <w:t>F.</w:t>
      </w:r>
      <w:r>
        <w:rPr>
          <w:rFonts w:hint="eastAsia" w:asciiTheme="minorEastAsia" w:hAnsiTheme="minorEastAsia" w:eastAsiaTheme="minorEastAsia"/>
          <w:sz w:val="21"/>
          <w:szCs w:val="21"/>
        </w:rPr>
        <w:t xml:space="preserve"> </w:t>
      </w:r>
      <w:r>
        <w:rPr>
          <w:rFonts w:asciiTheme="minorEastAsia" w:hAnsiTheme="minorEastAsia" w:eastAsiaTheme="minorEastAsia"/>
          <w:sz w:val="21"/>
          <w:szCs w:val="21"/>
        </w:rPr>
        <w:t>Stent.</w:t>
      </w:r>
      <w:r>
        <w:rPr>
          <w:rFonts w:hint="eastAsia" w:asciiTheme="minorEastAsia" w:hAnsiTheme="minorEastAsia" w:eastAsiaTheme="minorEastAsia"/>
          <w:sz w:val="21"/>
          <w:szCs w:val="21"/>
        </w:rPr>
        <w:t xml:space="preserve"> </w:t>
      </w:r>
      <w:r>
        <w:rPr>
          <w:rFonts w:asciiTheme="minorEastAsia" w:hAnsiTheme="minorEastAsia" w:eastAsiaTheme="minorEastAsia"/>
          <w:sz w:val="21"/>
          <w:szCs w:val="21"/>
        </w:rPr>
        <w:t>On measuring cargo handling productivity[J]. Maritime Policy &amp; Management,1987,14(4):337-343.</w:t>
      </w:r>
      <w:r>
        <w:rPr>
          <w:rFonts w:hint="eastAsia" w:asciiTheme="minorEastAsia" w:hAnsiTheme="minorEastAsia" w:eastAsiaTheme="minorEastAsia"/>
          <w:sz w:val="21"/>
          <w:szCs w:val="21"/>
        </w:rPr>
        <w:t xml:space="preserve"> </w:t>
      </w:r>
    </w:p>
    <w:p>
      <w:pPr>
        <w:spacing w:after="0" w:line="400" w:lineRule="exact"/>
        <w:jc w:val="both"/>
        <w:rPr>
          <w:rFonts w:asciiTheme="minorEastAsia" w:hAnsiTheme="minorEastAsia" w:eastAsiaTheme="minorEastAsia"/>
          <w:sz w:val="21"/>
          <w:szCs w:val="21"/>
        </w:rPr>
      </w:pPr>
      <w:r>
        <w:rPr>
          <w:rFonts w:hint="eastAsia" w:asciiTheme="minorEastAsia" w:hAnsiTheme="minorEastAsia" w:eastAsiaTheme="minorEastAsia"/>
          <w:sz w:val="21"/>
          <w:szCs w:val="21"/>
        </w:rPr>
        <w:t>[2]</w:t>
      </w:r>
      <w:r>
        <w:rPr>
          <w:rFonts w:asciiTheme="minorEastAsia" w:hAnsiTheme="minorEastAsia" w:eastAsiaTheme="minorEastAsia"/>
          <w:sz w:val="21"/>
          <w:szCs w:val="21"/>
        </w:rPr>
        <w:t>Tongzon J. Efficiency measurement of selected Australian and other international ports using data envelopment analysis[J].Transportation Research Part A Policy &amp; Practice</w:t>
      </w:r>
      <w:r>
        <w:rPr>
          <w:rFonts w:hint="eastAsia" w:asciiTheme="minorEastAsia" w:hAnsiTheme="minorEastAsia" w:eastAsiaTheme="minorEastAsia"/>
          <w:sz w:val="21"/>
          <w:szCs w:val="21"/>
        </w:rPr>
        <w:t>,</w:t>
      </w:r>
      <w:r>
        <w:rPr>
          <w:rFonts w:asciiTheme="minorEastAsia" w:hAnsiTheme="minorEastAsia" w:eastAsiaTheme="minorEastAsia"/>
          <w:sz w:val="21"/>
          <w:szCs w:val="21"/>
        </w:rPr>
        <w:t>2001</w:t>
      </w:r>
      <w:r>
        <w:rPr>
          <w:rFonts w:hint="eastAsia" w:asciiTheme="minorEastAsia" w:hAnsiTheme="minorEastAsia" w:eastAsiaTheme="minorEastAsia"/>
          <w:sz w:val="21"/>
          <w:szCs w:val="21"/>
        </w:rPr>
        <w:t>,</w:t>
      </w:r>
      <w:r>
        <w:rPr>
          <w:rFonts w:asciiTheme="minorEastAsia" w:hAnsiTheme="minorEastAsia" w:eastAsiaTheme="minorEastAsia"/>
          <w:sz w:val="21"/>
          <w:szCs w:val="21"/>
        </w:rPr>
        <w:t>35(2):107-122.</w:t>
      </w:r>
      <w:r>
        <w:rPr>
          <w:rFonts w:hint="eastAsia" w:asciiTheme="minorEastAsia" w:hAnsiTheme="minorEastAsia" w:eastAsiaTheme="minorEastAsia"/>
          <w:sz w:val="21"/>
          <w:szCs w:val="21"/>
        </w:rPr>
        <w:t xml:space="preserve"> </w:t>
      </w:r>
    </w:p>
    <w:p>
      <w:pPr>
        <w:spacing w:after="0" w:line="400" w:lineRule="exact"/>
        <w:jc w:val="both"/>
        <w:rPr>
          <w:rFonts w:asciiTheme="minorEastAsia" w:hAnsiTheme="minorEastAsia" w:eastAsiaTheme="minorEastAsia"/>
          <w:sz w:val="21"/>
          <w:szCs w:val="21"/>
        </w:rPr>
      </w:pPr>
      <w:r>
        <w:rPr>
          <w:rFonts w:hint="eastAsia" w:asciiTheme="minorEastAsia" w:hAnsiTheme="minorEastAsia" w:eastAsiaTheme="minorEastAsia"/>
          <w:sz w:val="21"/>
          <w:szCs w:val="21"/>
        </w:rPr>
        <w:t>[3]</w:t>
      </w:r>
      <w:r>
        <w:rPr>
          <w:rFonts w:asciiTheme="minorEastAsia" w:hAnsiTheme="minorEastAsia" w:eastAsiaTheme="minorEastAsia"/>
          <w:sz w:val="21"/>
          <w:szCs w:val="21"/>
        </w:rPr>
        <w:t>李丽,刘志平,肖汉斌.基于因子分析法的环渤海湾港口竞争力分析[J].物流技术,2007, 26(5):52-54.</w:t>
      </w:r>
    </w:p>
    <w:p>
      <w:pPr>
        <w:spacing w:after="0" w:line="400" w:lineRule="exact"/>
        <w:jc w:val="both"/>
        <w:rPr>
          <w:rFonts w:asciiTheme="minorEastAsia" w:hAnsiTheme="minorEastAsia" w:eastAsiaTheme="minorEastAsia"/>
          <w:sz w:val="21"/>
          <w:szCs w:val="21"/>
        </w:rPr>
      </w:pPr>
      <w:r>
        <w:rPr>
          <w:rFonts w:hint="eastAsia" w:asciiTheme="minorEastAsia" w:hAnsiTheme="minorEastAsia" w:eastAsiaTheme="minorEastAsia"/>
          <w:sz w:val="21"/>
          <w:szCs w:val="21"/>
        </w:rPr>
        <w:t>[4]</w:t>
      </w:r>
      <w:r>
        <w:rPr>
          <w:rFonts w:asciiTheme="minorEastAsia" w:hAnsiTheme="minorEastAsia" w:eastAsiaTheme="minorEastAsia"/>
          <w:sz w:val="21"/>
          <w:szCs w:val="21"/>
        </w:rPr>
        <w:t>匡海波.基于超效率CCR-DEA的中国港口上市公司成本效率评价研究[J].中国管理科学, 2007,15(3):142-148.</w:t>
      </w:r>
    </w:p>
    <w:p>
      <w:pPr>
        <w:spacing w:after="0" w:line="400" w:lineRule="exact"/>
        <w:jc w:val="both"/>
        <w:rPr>
          <w:rFonts w:asciiTheme="minorEastAsia" w:hAnsiTheme="minorEastAsia" w:eastAsiaTheme="minorEastAsia"/>
          <w:bCs/>
          <w:sz w:val="21"/>
          <w:szCs w:val="21"/>
        </w:rPr>
      </w:pPr>
      <w:r>
        <w:rPr>
          <w:rFonts w:hint="eastAsia" w:asciiTheme="minorEastAsia" w:hAnsiTheme="minorEastAsia" w:eastAsiaTheme="minorEastAsia"/>
          <w:bCs/>
          <w:sz w:val="21"/>
          <w:szCs w:val="21"/>
        </w:rPr>
        <w:t>[</w:t>
      </w:r>
      <w:r>
        <w:rPr>
          <w:rFonts w:hint="eastAsia" w:asciiTheme="minorEastAsia" w:hAnsiTheme="minorEastAsia" w:eastAsiaTheme="minorEastAsia"/>
          <w:bCs/>
          <w:sz w:val="21"/>
          <w:szCs w:val="21"/>
          <w:lang w:val="en-US" w:eastAsia="zh-CN"/>
        </w:rPr>
        <w:t>5</w:t>
      </w:r>
      <w:r>
        <w:rPr>
          <w:rFonts w:hint="eastAsia" w:asciiTheme="minorEastAsia" w:hAnsiTheme="minorEastAsia" w:eastAsiaTheme="minorEastAsia"/>
          <w:bCs/>
          <w:sz w:val="21"/>
          <w:szCs w:val="21"/>
        </w:rPr>
        <w:t>]</w:t>
      </w:r>
      <w:r>
        <w:rPr>
          <w:rFonts w:asciiTheme="minorEastAsia" w:hAnsiTheme="minorEastAsia" w:eastAsiaTheme="minorEastAsia"/>
          <w:bCs/>
          <w:sz w:val="21"/>
          <w:szCs w:val="21"/>
        </w:rPr>
        <w:t>郭岚,张勇,李志娟.基于因子分析与DEA方法的旅游上市公司效率评价[J].管理学报, 2008,5(2):258</w:t>
      </w:r>
      <w:r>
        <w:rPr>
          <w:rFonts w:hint="eastAsia" w:asciiTheme="minorEastAsia" w:hAnsiTheme="minorEastAsia" w:eastAsiaTheme="minorEastAsia"/>
          <w:bCs/>
          <w:sz w:val="21"/>
          <w:szCs w:val="21"/>
          <w:lang w:val="en-US" w:eastAsia="zh-CN"/>
        </w:rPr>
        <w:t>-262.</w:t>
      </w:r>
    </w:p>
    <w:p>
      <w:pPr>
        <w:spacing w:after="0" w:line="400" w:lineRule="exact"/>
        <w:jc w:val="both"/>
        <w:rPr>
          <w:rFonts w:asciiTheme="minorEastAsia" w:hAnsiTheme="minorEastAsia" w:eastAsiaTheme="minorEastAsia"/>
          <w:bCs/>
          <w:sz w:val="21"/>
          <w:szCs w:val="21"/>
        </w:rPr>
      </w:pPr>
      <w:r>
        <w:rPr>
          <w:rFonts w:hint="eastAsia" w:asciiTheme="minorEastAsia" w:hAnsiTheme="minorEastAsia" w:eastAsiaTheme="minorEastAsia"/>
          <w:bCs/>
          <w:sz w:val="21"/>
          <w:szCs w:val="21"/>
        </w:rPr>
        <w:t>[</w:t>
      </w:r>
      <w:r>
        <w:rPr>
          <w:rFonts w:hint="eastAsia" w:asciiTheme="minorEastAsia" w:hAnsiTheme="minorEastAsia" w:eastAsiaTheme="minorEastAsia"/>
          <w:bCs/>
          <w:sz w:val="21"/>
          <w:szCs w:val="21"/>
          <w:lang w:val="en-US" w:eastAsia="zh-CN"/>
        </w:rPr>
        <w:t>6</w:t>
      </w:r>
      <w:r>
        <w:rPr>
          <w:rFonts w:hint="eastAsia" w:asciiTheme="minorEastAsia" w:hAnsiTheme="minorEastAsia" w:eastAsiaTheme="minorEastAsia"/>
          <w:bCs/>
          <w:sz w:val="21"/>
          <w:szCs w:val="21"/>
        </w:rPr>
        <w:t>]</w:t>
      </w:r>
      <w:r>
        <w:rPr>
          <w:rFonts w:asciiTheme="minorEastAsia" w:hAnsiTheme="minorEastAsia" w:eastAsiaTheme="minorEastAsia"/>
          <w:bCs/>
          <w:sz w:val="21"/>
          <w:szCs w:val="21"/>
        </w:rPr>
        <w:t>陈岚.基于因子分析和DEA的电子政务效率评价[J].情报科学,2010(8):1189-1193.</w:t>
      </w:r>
    </w:p>
    <w:p>
      <w:pPr>
        <w:spacing w:after="0" w:line="400" w:lineRule="exact"/>
        <w:jc w:val="both"/>
        <w:rPr>
          <w:rFonts w:asciiTheme="minorEastAsia" w:hAnsiTheme="minorEastAsia" w:eastAsiaTheme="minorEastAsia"/>
          <w:bCs/>
          <w:sz w:val="21"/>
          <w:szCs w:val="21"/>
        </w:rPr>
      </w:pPr>
      <w:r>
        <w:rPr>
          <w:rFonts w:hint="eastAsia" w:asciiTheme="minorEastAsia" w:hAnsiTheme="minorEastAsia" w:eastAsiaTheme="minorEastAsia"/>
          <w:bCs/>
          <w:sz w:val="21"/>
          <w:szCs w:val="21"/>
        </w:rPr>
        <w:t>[</w:t>
      </w:r>
      <w:r>
        <w:rPr>
          <w:rFonts w:hint="eastAsia" w:asciiTheme="minorEastAsia" w:hAnsiTheme="minorEastAsia" w:eastAsiaTheme="minorEastAsia"/>
          <w:bCs/>
          <w:sz w:val="21"/>
          <w:szCs w:val="21"/>
          <w:lang w:val="en-US" w:eastAsia="zh-CN"/>
        </w:rPr>
        <w:t>7</w:t>
      </w:r>
      <w:r>
        <w:rPr>
          <w:rFonts w:hint="eastAsia" w:asciiTheme="minorEastAsia" w:hAnsiTheme="minorEastAsia" w:eastAsiaTheme="minorEastAsia"/>
          <w:bCs/>
          <w:sz w:val="21"/>
          <w:szCs w:val="21"/>
        </w:rPr>
        <w:t>]</w:t>
      </w:r>
      <w:r>
        <w:rPr>
          <w:rFonts w:asciiTheme="minorEastAsia" w:hAnsiTheme="minorEastAsia" w:eastAsiaTheme="minorEastAsia"/>
          <w:bCs/>
          <w:sz w:val="21"/>
          <w:szCs w:val="21"/>
        </w:rPr>
        <w:t>Armando Goncalves</w:t>
      </w:r>
      <w:r>
        <w:rPr>
          <w:rFonts w:hint="eastAsia" w:asciiTheme="minorEastAsia" w:hAnsiTheme="minorEastAsia" w:eastAsiaTheme="minorEastAsia"/>
          <w:bCs/>
          <w:sz w:val="21"/>
          <w:szCs w:val="21"/>
        </w:rPr>
        <w:t>，</w:t>
      </w:r>
      <w:r>
        <w:rPr>
          <w:rFonts w:asciiTheme="minorEastAsia" w:hAnsiTheme="minorEastAsia" w:eastAsiaTheme="minorEastAsia"/>
          <w:bCs/>
          <w:sz w:val="21"/>
          <w:szCs w:val="21"/>
        </w:rPr>
        <w:t>Madeira Juniora</w:t>
      </w:r>
      <w:r>
        <w:rPr>
          <w:rFonts w:hint="eastAsia" w:asciiTheme="minorEastAsia" w:hAnsiTheme="minorEastAsia" w:eastAsiaTheme="minorEastAsia"/>
          <w:bCs/>
          <w:sz w:val="21"/>
          <w:szCs w:val="21"/>
        </w:rPr>
        <w:t>，</w:t>
      </w:r>
      <w:r>
        <w:rPr>
          <w:rFonts w:asciiTheme="minorEastAsia" w:hAnsiTheme="minorEastAsia" w:eastAsiaTheme="minorEastAsia"/>
          <w:bCs/>
          <w:sz w:val="21"/>
          <w:szCs w:val="21"/>
        </w:rPr>
        <w:t>Moaeyr Machndo</w:t>
      </w:r>
      <w:r>
        <w:rPr>
          <w:rFonts w:hint="eastAsia" w:asciiTheme="minorEastAsia" w:hAnsiTheme="minorEastAsia" w:eastAsiaTheme="minorEastAsia"/>
          <w:bCs/>
          <w:sz w:val="21"/>
          <w:szCs w:val="21"/>
        </w:rPr>
        <w:t>，et al．</w:t>
      </w:r>
      <w:r>
        <w:rPr>
          <w:rFonts w:asciiTheme="minorEastAsia" w:hAnsiTheme="minorEastAsia" w:eastAsiaTheme="minorEastAsia"/>
          <w:bCs/>
          <w:sz w:val="21"/>
          <w:szCs w:val="21"/>
        </w:rPr>
        <w:t>Muhicriteria</w:t>
      </w:r>
      <w:r>
        <w:rPr>
          <w:rFonts w:hint="eastAsia" w:asciiTheme="minorEastAsia" w:hAnsiTheme="minorEastAsia" w:eastAsiaTheme="minorEastAsia"/>
          <w:bCs/>
          <w:sz w:val="21"/>
          <w:szCs w:val="21"/>
        </w:rPr>
        <w:t xml:space="preserve"> </w:t>
      </w:r>
      <w:r>
        <w:rPr>
          <w:rFonts w:asciiTheme="minorEastAsia" w:hAnsiTheme="minorEastAsia" w:eastAsiaTheme="minorEastAsia"/>
          <w:bCs/>
          <w:sz w:val="21"/>
          <w:szCs w:val="21"/>
        </w:rPr>
        <w:t>and Multivariate Analysis for Port Performance Evaluation[J]</w:t>
      </w:r>
      <w:r>
        <w:rPr>
          <w:rFonts w:hint="eastAsia" w:asciiTheme="minorEastAsia" w:hAnsiTheme="minorEastAsia" w:eastAsiaTheme="minorEastAsia"/>
          <w:bCs/>
          <w:sz w:val="21"/>
          <w:szCs w:val="21"/>
        </w:rPr>
        <w:t>.</w:t>
      </w:r>
      <w:r>
        <w:rPr>
          <w:rFonts w:asciiTheme="minorEastAsia" w:hAnsiTheme="minorEastAsia" w:eastAsiaTheme="minorEastAsia"/>
          <w:bCs/>
          <w:sz w:val="21"/>
          <w:szCs w:val="21"/>
        </w:rPr>
        <w:t>International</w:t>
      </w:r>
      <w:r>
        <w:rPr>
          <w:rFonts w:hint="eastAsia" w:asciiTheme="minorEastAsia" w:hAnsiTheme="minorEastAsia" w:eastAsiaTheme="minorEastAsia"/>
          <w:bCs/>
          <w:sz w:val="21"/>
          <w:szCs w:val="21"/>
        </w:rPr>
        <w:t xml:space="preserve"> </w:t>
      </w:r>
      <w:r>
        <w:rPr>
          <w:rFonts w:asciiTheme="minorEastAsia" w:hAnsiTheme="minorEastAsia" w:eastAsiaTheme="minorEastAsia"/>
          <w:bCs/>
          <w:sz w:val="21"/>
          <w:szCs w:val="21"/>
        </w:rPr>
        <w:t>Journal of Produc</w:t>
      </w:r>
      <w:bookmarkStart w:id="0" w:name="_GoBack"/>
      <w:bookmarkEnd w:id="0"/>
      <w:r>
        <w:rPr>
          <w:rFonts w:asciiTheme="minorEastAsia" w:hAnsiTheme="minorEastAsia" w:eastAsiaTheme="minorEastAsia"/>
          <w:bCs/>
          <w:sz w:val="21"/>
          <w:szCs w:val="21"/>
        </w:rPr>
        <w:t>tion Economics</w:t>
      </w:r>
      <w:r>
        <w:rPr>
          <w:rFonts w:hint="eastAsia" w:asciiTheme="minorEastAsia" w:hAnsiTheme="minorEastAsia" w:eastAsiaTheme="minorEastAsia"/>
          <w:bCs/>
          <w:sz w:val="21"/>
          <w:szCs w:val="21"/>
        </w:rPr>
        <w:t>，</w:t>
      </w:r>
      <w:r>
        <w:rPr>
          <w:rFonts w:asciiTheme="minorEastAsia" w:hAnsiTheme="minorEastAsia" w:eastAsiaTheme="minorEastAsia"/>
          <w:bCs/>
          <w:sz w:val="21"/>
          <w:szCs w:val="21"/>
        </w:rPr>
        <w:t>2012</w:t>
      </w:r>
      <w:r>
        <w:rPr>
          <w:rFonts w:hint="eastAsia" w:asciiTheme="minorEastAsia" w:hAnsiTheme="minorEastAsia" w:eastAsiaTheme="minorEastAsia"/>
          <w:bCs/>
          <w:sz w:val="21"/>
          <w:szCs w:val="21"/>
        </w:rPr>
        <w:t>，</w:t>
      </w:r>
      <w:r>
        <w:rPr>
          <w:rFonts w:asciiTheme="minorEastAsia" w:hAnsiTheme="minorEastAsia" w:eastAsiaTheme="minorEastAsia"/>
          <w:bCs/>
          <w:sz w:val="21"/>
          <w:szCs w:val="21"/>
        </w:rPr>
        <w:t>140(1)</w:t>
      </w:r>
      <w:r>
        <w:rPr>
          <w:rFonts w:hint="eastAsia" w:asciiTheme="minorEastAsia" w:hAnsiTheme="minorEastAsia" w:eastAsiaTheme="minorEastAsia"/>
          <w:bCs/>
          <w:sz w:val="21"/>
          <w:szCs w:val="21"/>
        </w:rPr>
        <w:t>：</w:t>
      </w:r>
      <w:r>
        <w:rPr>
          <w:rFonts w:asciiTheme="minorEastAsia" w:hAnsiTheme="minorEastAsia" w:eastAsiaTheme="minorEastAsia"/>
          <w:bCs/>
          <w:sz w:val="21"/>
          <w:szCs w:val="21"/>
        </w:rPr>
        <w:t>450</w:t>
      </w:r>
      <w:r>
        <w:rPr>
          <w:rFonts w:hint="eastAsia" w:asciiTheme="minorEastAsia" w:hAnsiTheme="minorEastAsia" w:eastAsiaTheme="minorEastAsia"/>
          <w:bCs/>
          <w:sz w:val="21"/>
          <w:szCs w:val="21"/>
          <w:lang w:val="en-US" w:eastAsia="zh-CN"/>
        </w:rPr>
        <w:t>-</w:t>
      </w:r>
      <w:r>
        <w:rPr>
          <w:rFonts w:asciiTheme="minorEastAsia" w:hAnsiTheme="minorEastAsia" w:eastAsiaTheme="minorEastAsia"/>
          <w:bCs/>
          <w:sz w:val="21"/>
          <w:szCs w:val="21"/>
        </w:rPr>
        <w:t>456</w:t>
      </w:r>
      <w:r>
        <w:rPr>
          <w:rFonts w:hint="eastAsia" w:asciiTheme="minorEastAsia" w:hAnsiTheme="minorEastAsia" w:eastAsiaTheme="minorEastAsia"/>
          <w:bCs/>
          <w:sz w:val="21"/>
          <w:szCs w:val="21"/>
        </w:rPr>
        <w:t>.</w:t>
      </w:r>
    </w:p>
    <w:p>
      <w:pPr>
        <w:spacing w:after="0" w:line="400" w:lineRule="exact"/>
        <w:jc w:val="both"/>
        <w:rPr>
          <w:rFonts w:asciiTheme="minorEastAsia" w:hAnsiTheme="minorEastAsia" w:eastAsiaTheme="minorEastAsia"/>
          <w:bCs/>
          <w:sz w:val="21"/>
          <w:szCs w:val="21"/>
        </w:rPr>
      </w:pPr>
    </w:p>
    <w:p>
      <w:pPr>
        <w:spacing w:after="0" w:line="360" w:lineRule="auto"/>
        <w:jc w:val="both"/>
        <w:rPr>
          <w:rFonts w:asciiTheme="minorEastAsia" w:hAnsiTheme="minorEastAsia" w:eastAsiaTheme="minorEastAsia"/>
          <w:sz w:val="21"/>
          <w:szCs w:val="21"/>
        </w:rPr>
      </w:pPr>
    </w:p>
    <w:sectPr>
      <w:headerReference r:id="rId6" w:type="first"/>
      <w:footerReference r:id="rId9" w:type="first"/>
      <w:headerReference r:id="rId4" w:type="default"/>
      <w:footerReference r:id="rId7" w:type="default"/>
      <w:headerReference r:id="rId5" w:type="even"/>
      <w:footerReference r:id="rId8" w:type="even"/>
      <w:pgSz w:w="11906" w:h="16838"/>
      <w:pgMar w:top="1440" w:right="1800" w:bottom="1440" w:left="1800" w:header="708" w:footer="708" w:gutter="0"/>
      <w:cols w:space="708" w:num="1"/>
      <w:docGrid w:type="lines"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10002FF" w:usb1="4000ACFF" w:usb2="00000009" w:usb3="00000000" w:csb0="2000019F" w:csb1="00000000"/>
  </w:font>
  <w:font w:name="微软雅黑">
    <w:panose1 w:val="020B0503020204020204"/>
    <w:charset w:val="86"/>
    <w:family w:val="swiss"/>
    <w:pitch w:val="default"/>
    <w:sig w:usb0="80000287" w:usb1="280F3C52" w:usb2="00000016" w:usb3="00000000" w:csb0="0004001F" w:csb1="00000000"/>
  </w:font>
  <w:font w:name="Tahoma">
    <w:panose1 w:val="020B0604030504040204"/>
    <w:charset w:val="00"/>
    <w:family w:val="swiss"/>
    <w:pitch w:val="default"/>
    <w:sig w:usb0="E1002EFF" w:usb1="C000605B" w:usb2="00000029" w:usb3="00000000" w:csb0="200101FF" w:csb1="20280000"/>
  </w:font>
  <w:font w:name="方正姚体">
    <w:panose1 w:val="02010601030101010101"/>
    <w:charset w:val="86"/>
    <w:family w:val="auto"/>
    <w:pitch w:val="default"/>
    <w:sig w:usb0="00000003" w:usb1="080E0000" w:usb2="00000000" w:usb3="00000000" w:csb0="00040000" w:csb1="00000000"/>
  </w:font>
  <w:font w:name="AdobeHeitiStd-Regular">
    <w:altName w:val="宋体"/>
    <w:panose1 w:val="00000000000000000000"/>
    <w:charset w:val="86"/>
    <w:family w:val="auto"/>
    <w:pitch w:val="default"/>
    <w:sig w:usb0="00000000" w:usb1="00000000" w:usb2="00000010" w:usb3="00000000" w:csb0="00040000" w:csb1="00000000"/>
  </w:font>
  <w:font w:name="KTJ0+ZJELO5-13">
    <w:altName w:val="宋体"/>
    <w:panose1 w:val="00000000000000000000"/>
    <w:charset w:val="86"/>
    <w:family w:val="auto"/>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id="0">
    <w:p>
      <w:pPr>
        <w:spacing w:after="0"/>
        <w:jc w:val="both"/>
        <w:rPr>
          <w:rFonts w:cs="宋体" w:asciiTheme="minorEastAsia" w:hAnsiTheme="minorEastAsia" w:eastAsiaTheme="minorEastAsia"/>
          <w:sz w:val="18"/>
          <w:szCs w:val="18"/>
        </w:rPr>
      </w:pPr>
      <w:r>
        <w:rPr>
          <w:rFonts w:hint="eastAsia" w:ascii="宋体" w:hAnsi="宋体" w:cs="宋体"/>
          <w:b/>
          <w:bCs/>
          <w:sz w:val="18"/>
          <w:szCs w:val="18"/>
        </w:rPr>
        <w:t>基金项目</w:t>
      </w:r>
      <w:r>
        <w:rPr>
          <w:rFonts w:hint="eastAsia" w:ascii="Times New Roman" w:hAnsi="Times New Roman" w:cs="宋体"/>
          <w:szCs w:val="21"/>
        </w:rPr>
        <w:t>：</w:t>
      </w:r>
      <w:r>
        <w:rPr>
          <w:rFonts w:hint="eastAsia" w:ascii="宋体" w:hAnsi="宋体" w:eastAsia="宋体" w:cs="宋体"/>
          <w:sz w:val="18"/>
          <w:szCs w:val="18"/>
        </w:rPr>
        <w:t>镇江市软科学课题“镇江高新区产业结构优化对策研究”（RK2015010）</w:t>
      </w:r>
    </w:p>
    <w:p>
      <w:pPr>
        <w:spacing w:after="0"/>
        <w:rPr>
          <w:rFonts w:cs="宋体" w:asciiTheme="minorEastAsia" w:hAnsiTheme="minorEastAsia" w:eastAsiaTheme="minorEastAsia"/>
          <w:sz w:val="18"/>
          <w:szCs w:val="18"/>
        </w:rPr>
      </w:pPr>
      <w:r>
        <w:rPr>
          <w:rFonts w:hint="eastAsia" w:ascii="微软雅黑" w:hAnsi="微软雅黑" w:cs="宋体"/>
          <w:b/>
          <w:sz w:val="18"/>
          <w:szCs w:val="18"/>
        </w:rPr>
        <w:t>作者简介</w:t>
      </w:r>
      <w:r>
        <w:rPr>
          <w:rFonts w:hint="eastAsia" w:ascii="微软雅黑" w:hAnsi="微软雅黑" w:cs="宋体"/>
          <w:sz w:val="18"/>
          <w:szCs w:val="18"/>
        </w:rPr>
        <w:t>：</w:t>
      </w:r>
      <w:r>
        <w:rPr>
          <w:rFonts w:hint="eastAsia" w:ascii="宋体" w:hAnsi="宋体" w:eastAsia="宋体" w:cs="宋体"/>
          <w:sz w:val="18"/>
          <w:szCs w:val="18"/>
        </w:rPr>
        <w:t>陶永宏（1963-），男，江苏阜宁人，江苏科技大学经济管理学院，教授，博士。研究方向：船舶产业经济与管理。</w:t>
      </w:r>
    </w:p>
    <w:p>
      <w:pPr>
        <w:spacing w:after="0"/>
        <w:rPr>
          <w:rFonts w:ascii="Times New Roman" w:hAnsi="Times New Roman" w:cs="宋体"/>
          <w:szCs w:val="21"/>
        </w:rPr>
      </w:pPr>
      <w:r>
        <w:rPr>
          <w:rFonts w:hint="eastAsia" w:cs="宋体" w:asciiTheme="minorEastAsia" w:hAnsiTheme="minorEastAsia" w:eastAsiaTheme="minorEastAsia"/>
          <w:sz w:val="18"/>
          <w:szCs w:val="18"/>
        </w:rPr>
        <w:t xml:space="preserve">          </w:t>
      </w:r>
      <w:r>
        <w:rPr>
          <w:rFonts w:hint="eastAsia" w:ascii="宋体" w:hAnsi="宋体" w:eastAsia="宋体" w:cs="宋体"/>
          <w:sz w:val="18"/>
          <w:szCs w:val="18"/>
        </w:rPr>
        <w:t>丁彩虹（1992-），女，湖南湘潭人，江苏科技大学经济管理学院硕士研究生，研究方向：船舶产业经济与管理。</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bordersDoNotSurroundHeader w:val="1"/>
  <w:bordersDoNotSurroundFooter w:val="1"/>
  <w:documentProtection w:enforcement="0"/>
  <w:defaultTabStop w:val="720"/>
  <w:displayHorizontalDrawingGridEvery w:val="0"/>
  <w:displayVerticalDrawingGridEvery w:val="2"/>
  <w:characterSpacingControl w:val="doNotCompress"/>
  <w:compat>
    <w:balanceSingleByteDoubleByteWidth/>
    <w:ulTrailSpace/>
    <w:doNotExpandShiftReturn/>
    <w:adjustLineHeightInTable/>
    <w:useFELayout/>
    <w:doNotUseIndentAsNumberingTabStop/>
    <w:useAltKinsokuLineBreakRules/>
    <w:compatSetting w:name="compatibilityMode" w:uri="http://schemas.microsoft.com/office/word" w:val="12"/>
  </w:compat>
  <w:rsids>
    <w:rsidRoot w:val="00172A27"/>
    <w:rsid w:val="00014136"/>
    <w:rsid w:val="000400A1"/>
    <w:rsid w:val="000438B0"/>
    <w:rsid w:val="00047D4A"/>
    <w:rsid w:val="00050830"/>
    <w:rsid w:val="00056468"/>
    <w:rsid w:val="00070212"/>
    <w:rsid w:val="0007084D"/>
    <w:rsid w:val="00071727"/>
    <w:rsid w:val="00071B84"/>
    <w:rsid w:val="0007627B"/>
    <w:rsid w:val="000B4016"/>
    <w:rsid w:val="000C1F71"/>
    <w:rsid w:val="000C611B"/>
    <w:rsid w:val="000D0D8E"/>
    <w:rsid w:val="000D17B0"/>
    <w:rsid w:val="000F75FB"/>
    <w:rsid w:val="00111843"/>
    <w:rsid w:val="00120BB6"/>
    <w:rsid w:val="00134932"/>
    <w:rsid w:val="00134EA9"/>
    <w:rsid w:val="00134F36"/>
    <w:rsid w:val="0014315C"/>
    <w:rsid w:val="0015363A"/>
    <w:rsid w:val="0015777D"/>
    <w:rsid w:val="001667BB"/>
    <w:rsid w:val="001719B1"/>
    <w:rsid w:val="00172A27"/>
    <w:rsid w:val="00192DB7"/>
    <w:rsid w:val="001A6159"/>
    <w:rsid w:val="001B2E9D"/>
    <w:rsid w:val="001B4992"/>
    <w:rsid w:val="001C0939"/>
    <w:rsid w:val="001C4949"/>
    <w:rsid w:val="001E15C8"/>
    <w:rsid w:val="001E3CFE"/>
    <w:rsid w:val="001F3EF4"/>
    <w:rsid w:val="001F6684"/>
    <w:rsid w:val="001F72C3"/>
    <w:rsid w:val="00201B0A"/>
    <w:rsid w:val="00204F54"/>
    <w:rsid w:val="002143D1"/>
    <w:rsid w:val="00216F4A"/>
    <w:rsid w:val="00224EEE"/>
    <w:rsid w:val="00226C4F"/>
    <w:rsid w:val="00227FE7"/>
    <w:rsid w:val="00230215"/>
    <w:rsid w:val="00251936"/>
    <w:rsid w:val="0025275A"/>
    <w:rsid w:val="00264F30"/>
    <w:rsid w:val="00280E45"/>
    <w:rsid w:val="00284E3B"/>
    <w:rsid w:val="002872E9"/>
    <w:rsid w:val="00294BD6"/>
    <w:rsid w:val="00295544"/>
    <w:rsid w:val="002A1F4B"/>
    <w:rsid w:val="002A452D"/>
    <w:rsid w:val="002B0C5C"/>
    <w:rsid w:val="002B1EFE"/>
    <w:rsid w:val="002C00BD"/>
    <w:rsid w:val="002C04BD"/>
    <w:rsid w:val="002C253E"/>
    <w:rsid w:val="002C5B71"/>
    <w:rsid w:val="002D13D2"/>
    <w:rsid w:val="002D5903"/>
    <w:rsid w:val="002E6AD3"/>
    <w:rsid w:val="003053A7"/>
    <w:rsid w:val="00313EE2"/>
    <w:rsid w:val="00323B43"/>
    <w:rsid w:val="00336C41"/>
    <w:rsid w:val="0034478D"/>
    <w:rsid w:val="00345958"/>
    <w:rsid w:val="00381269"/>
    <w:rsid w:val="0038585E"/>
    <w:rsid w:val="00396B47"/>
    <w:rsid w:val="003A1937"/>
    <w:rsid w:val="003A2248"/>
    <w:rsid w:val="003D333E"/>
    <w:rsid w:val="003D37D8"/>
    <w:rsid w:val="003E437A"/>
    <w:rsid w:val="003E621D"/>
    <w:rsid w:val="003F5C9E"/>
    <w:rsid w:val="003F76DD"/>
    <w:rsid w:val="004017A4"/>
    <w:rsid w:val="00416FE8"/>
    <w:rsid w:val="00421AED"/>
    <w:rsid w:val="00426133"/>
    <w:rsid w:val="004358AB"/>
    <w:rsid w:val="00437716"/>
    <w:rsid w:val="0045092D"/>
    <w:rsid w:val="00451E39"/>
    <w:rsid w:val="004649A0"/>
    <w:rsid w:val="00466A0A"/>
    <w:rsid w:val="00467869"/>
    <w:rsid w:val="004706C3"/>
    <w:rsid w:val="00472E6A"/>
    <w:rsid w:val="004876AA"/>
    <w:rsid w:val="0049465A"/>
    <w:rsid w:val="004A2B85"/>
    <w:rsid w:val="004B09A9"/>
    <w:rsid w:val="004B10D9"/>
    <w:rsid w:val="004B3918"/>
    <w:rsid w:val="004D3ABE"/>
    <w:rsid w:val="004D6A52"/>
    <w:rsid w:val="004D6C28"/>
    <w:rsid w:val="004E3A5C"/>
    <w:rsid w:val="004E4C8D"/>
    <w:rsid w:val="004F4671"/>
    <w:rsid w:val="004F46A4"/>
    <w:rsid w:val="00502A59"/>
    <w:rsid w:val="00505DE4"/>
    <w:rsid w:val="00521136"/>
    <w:rsid w:val="00524697"/>
    <w:rsid w:val="0053011E"/>
    <w:rsid w:val="005338B5"/>
    <w:rsid w:val="00534A13"/>
    <w:rsid w:val="00544329"/>
    <w:rsid w:val="00547B9E"/>
    <w:rsid w:val="005503B1"/>
    <w:rsid w:val="00562077"/>
    <w:rsid w:val="005624A0"/>
    <w:rsid w:val="00562EBD"/>
    <w:rsid w:val="005661A9"/>
    <w:rsid w:val="00567382"/>
    <w:rsid w:val="00572F23"/>
    <w:rsid w:val="00582CD2"/>
    <w:rsid w:val="0058329C"/>
    <w:rsid w:val="00590964"/>
    <w:rsid w:val="005952A9"/>
    <w:rsid w:val="005960F6"/>
    <w:rsid w:val="005A0669"/>
    <w:rsid w:val="005A60E0"/>
    <w:rsid w:val="005B032A"/>
    <w:rsid w:val="005C6FC4"/>
    <w:rsid w:val="005D306F"/>
    <w:rsid w:val="005D4D89"/>
    <w:rsid w:val="005D7CD9"/>
    <w:rsid w:val="005E395A"/>
    <w:rsid w:val="005F4412"/>
    <w:rsid w:val="005F77DC"/>
    <w:rsid w:val="00600282"/>
    <w:rsid w:val="006204DC"/>
    <w:rsid w:val="006207EC"/>
    <w:rsid w:val="00626257"/>
    <w:rsid w:val="0064546B"/>
    <w:rsid w:val="00645E2D"/>
    <w:rsid w:val="00660968"/>
    <w:rsid w:val="006661A4"/>
    <w:rsid w:val="00666653"/>
    <w:rsid w:val="00666972"/>
    <w:rsid w:val="00671F5F"/>
    <w:rsid w:val="00677A7D"/>
    <w:rsid w:val="006846AE"/>
    <w:rsid w:val="006936D1"/>
    <w:rsid w:val="006940DD"/>
    <w:rsid w:val="006B04C2"/>
    <w:rsid w:val="006B3BB5"/>
    <w:rsid w:val="006B7C2F"/>
    <w:rsid w:val="006C0E40"/>
    <w:rsid w:val="006C788C"/>
    <w:rsid w:val="006D6E4D"/>
    <w:rsid w:val="006E331B"/>
    <w:rsid w:val="006E5AD9"/>
    <w:rsid w:val="006F1E5E"/>
    <w:rsid w:val="007142AC"/>
    <w:rsid w:val="00727C94"/>
    <w:rsid w:val="0074150D"/>
    <w:rsid w:val="00745F25"/>
    <w:rsid w:val="0075141E"/>
    <w:rsid w:val="007537EF"/>
    <w:rsid w:val="007676B6"/>
    <w:rsid w:val="00773B1F"/>
    <w:rsid w:val="00781004"/>
    <w:rsid w:val="00783871"/>
    <w:rsid w:val="00783A52"/>
    <w:rsid w:val="00785D31"/>
    <w:rsid w:val="00791F31"/>
    <w:rsid w:val="007922BB"/>
    <w:rsid w:val="00794BC2"/>
    <w:rsid w:val="00794E66"/>
    <w:rsid w:val="00795FA7"/>
    <w:rsid w:val="007975F9"/>
    <w:rsid w:val="007C2D9D"/>
    <w:rsid w:val="007C33A7"/>
    <w:rsid w:val="007C5DEB"/>
    <w:rsid w:val="007D7ECF"/>
    <w:rsid w:val="007E6C60"/>
    <w:rsid w:val="007F1E1E"/>
    <w:rsid w:val="00801B2E"/>
    <w:rsid w:val="00802348"/>
    <w:rsid w:val="00804D1E"/>
    <w:rsid w:val="00816B51"/>
    <w:rsid w:val="00836B6E"/>
    <w:rsid w:val="00846CF1"/>
    <w:rsid w:val="008610D8"/>
    <w:rsid w:val="00861307"/>
    <w:rsid w:val="00891DEA"/>
    <w:rsid w:val="008A0C09"/>
    <w:rsid w:val="008A5C84"/>
    <w:rsid w:val="008B3668"/>
    <w:rsid w:val="008B7726"/>
    <w:rsid w:val="008C7505"/>
    <w:rsid w:val="008E762C"/>
    <w:rsid w:val="008F412F"/>
    <w:rsid w:val="00906333"/>
    <w:rsid w:val="00907E84"/>
    <w:rsid w:val="009143FD"/>
    <w:rsid w:val="00917600"/>
    <w:rsid w:val="0094776E"/>
    <w:rsid w:val="00952A97"/>
    <w:rsid w:val="00953F1D"/>
    <w:rsid w:val="00956C09"/>
    <w:rsid w:val="00963182"/>
    <w:rsid w:val="009879E5"/>
    <w:rsid w:val="009A1E63"/>
    <w:rsid w:val="009C0D43"/>
    <w:rsid w:val="009C500A"/>
    <w:rsid w:val="009D70E8"/>
    <w:rsid w:val="009E1382"/>
    <w:rsid w:val="009F5674"/>
    <w:rsid w:val="00A01671"/>
    <w:rsid w:val="00A0778E"/>
    <w:rsid w:val="00A10785"/>
    <w:rsid w:val="00A31A28"/>
    <w:rsid w:val="00A33DC9"/>
    <w:rsid w:val="00A3516C"/>
    <w:rsid w:val="00A363B1"/>
    <w:rsid w:val="00A52193"/>
    <w:rsid w:val="00A80CD8"/>
    <w:rsid w:val="00A826C6"/>
    <w:rsid w:val="00A86F01"/>
    <w:rsid w:val="00A954F9"/>
    <w:rsid w:val="00AA08CA"/>
    <w:rsid w:val="00AA581A"/>
    <w:rsid w:val="00AA5EA3"/>
    <w:rsid w:val="00AB04AE"/>
    <w:rsid w:val="00AB0DC0"/>
    <w:rsid w:val="00AB55B3"/>
    <w:rsid w:val="00AC0AB4"/>
    <w:rsid w:val="00AD5ED2"/>
    <w:rsid w:val="00AE1F89"/>
    <w:rsid w:val="00AE27EC"/>
    <w:rsid w:val="00AF42C7"/>
    <w:rsid w:val="00AF6F96"/>
    <w:rsid w:val="00B078B8"/>
    <w:rsid w:val="00B15D8D"/>
    <w:rsid w:val="00B160B4"/>
    <w:rsid w:val="00B210C6"/>
    <w:rsid w:val="00B2197C"/>
    <w:rsid w:val="00B33CA9"/>
    <w:rsid w:val="00B36368"/>
    <w:rsid w:val="00B45757"/>
    <w:rsid w:val="00B46E62"/>
    <w:rsid w:val="00B476D8"/>
    <w:rsid w:val="00B504B1"/>
    <w:rsid w:val="00B52749"/>
    <w:rsid w:val="00B6505A"/>
    <w:rsid w:val="00B726B8"/>
    <w:rsid w:val="00B90293"/>
    <w:rsid w:val="00B94D7B"/>
    <w:rsid w:val="00BC042A"/>
    <w:rsid w:val="00BD6CA9"/>
    <w:rsid w:val="00BD7057"/>
    <w:rsid w:val="00BD7C9B"/>
    <w:rsid w:val="00BE2184"/>
    <w:rsid w:val="00BF0161"/>
    <w:rsid w:val="00BF3CD3"/>
    <w:rsid w:val="00BF47F8"/>
    <w:rsid w:val="00BF6FF4"/>
    <w:rsid w:val="00C116C9"/>
    <w:rsid w:val="00C13A5C"/>
    <w:rsid w:val="00C331E9"/>
    <w:rsid w:val="00C42D85"/>
    <w:rsid w:val="00C63966"/>
    <w:rsid w:val="00C63D88"/>
    <w:rsid w:val="00C661CC"/>
    <w:rsid w:val="00C75B8C"/>
    <w:rsid w:val="00C76476"/>
    <w:rsid w:val="00C82772"/>
    <w:rsid w:val="00C9263A"/>
    <w:rsid w:val="00CA520E"/>
    <w:rsid w:val="00CB4E3A"/>
    <w:rsid w:val="00CC2017"/>
    <w:rsid w:val="00CD72DF"/>
    <w:rsid w:val="00CE5C80"/>
    <w:rsid w:val="00CE6ED4"/>
    <w:rsid w:val="00CF0752"/>
    <w:rsid w:val="00CF5539"/>
    <w:rsid w:val="00D21523"/>
    <w:rsid w:val="00D31D50"/>
    <w:rsid w:val="00D36D01"/>
    <w:rsid w:val="00D41EA0"/>
    <w:rsid w:val="00D54615"/>
    <w:rsid w:val="00D66A30"/>
    <w:rsid w:val="00D744D3"/>
    <w:rsid w:val="00D84924"/>
    <w:rsid w:val="00D96A82"/>
    <w:rsid w:val="00DA2648"/>
    <w:rsid w:val="00DA26F7"/>
    <w:rsid w:val="00DB4580"/>
    <w:rsid w:val="00DB75BD"/>
    <w:rsid w:val="00DC40DF"/>
    <w:rsid w:val="00DC53DD"/>
    <w:rsid w:val="00DD0F24"/>
    <w:rsid w:val="00DD1817"/>
    <w:rsid w:val="00DF15A2"/>
    <w:rsid w:val="00DF3B75"/>
    <w:rsid w:val="00DF7CE0"/>
    <w:rsid w:val="00E1122F"/>
    <w:rsid w:val="00E11D77"/>
    <w:rsid w:val="00E14CA2"/>
    <w:rsid w:val="00E17EBF"/>
    <w:rsid w:val="00E433EE"/>
    <w:rsid w:val="00E4431F"/>
    <w:rsid w:val="00E517F0"/>
    <w:rsid w:val="00E52455"/>
    <w:rsid w:val="00E66F95"/>
    <w:rsid w:val="00E72907"/>
    <w:rsid w:val="00E82839"/>
    <w:rsid w:val="00E920D6"/>
    <w:rsid w:val="00E92F50"/>
    <w:rsid w:val="00EA07B9"/>
    <w:rsid w:val="00EC40C3"/>
    <w:rsid w:val="00ED55A9"/>
    <w:rsid w:val="00ED728E"/>
    <w:rsid w:val="00EE4F63"/>
    <w:rsid w:val="00EE7BE7"/>
    <w:rsid w:val="00EF61DE"/>
    <w:rsid w:val="00F16B5E"/>
    <w:rsid w:val="00F23D2E"/>
    <w:rsid w:val="00F252FC"/>
    <w:rsid w:val="00F31269"/>
    <w:rsid w:val="00F60DEB"/>
    <w:rsid w:val="00F673FE"/>
    <w:rsid w:val="00F74C1A"/>
    <w:rsid w:val="00F82C48"/>
    <w:rsid w:val="00F94462"/>
    <w:rsid w:val="00FA0CBE"/>
    <w:rsid w:val="00FA0F4E"/>
    <w:rsid w:val="00FA1F4A"/>
    <w:rsid w:val="00FB6F5B"/>
    <w:rsid w:val="00FC6144"/>
    <w:rsid w:val="00FD1553"/>
    <w:rsid w:val="00FD770C"/>
    <w:rsid w:val="00FD7EB2"/>
    <w:rsid w:val="00FE51A1"/>
    <w:rsid w:val="00FE63A6"/>
    <w:rsid w:val="00FF21D9"/>
    <w:rsid w:val="067A1597"/>
    <w:rsid w:val="0B1B2ED8"/>
    <w:rsid w:val="14334188"/>
    <w:rsid w:val="1F0D5754"/>
    <w:rsid w:val="288F5456"/>
    <w:rsid w:val="28BF76E8"/>
    <w:rsid w:val="2A730DC2"/>
    <w:rsid w:val="30092866"/>
    <w:rsid w:val="39413670"/>
    <w:rsid w:val="3B31630E"/>
    <w:rsid w:val="3C5C3B8F"/>
    <w:rsid w:val="49A1025E"/>
    <w:rsid w:val="5D913A88"/>
    <w:rsid w:val="653773AB"/>
    <w:rsid w:val="67BB26FB"/>
    <w:rsid w:val="69987184"/>
    <w:rsid w:val="6A0B7701"/>
    <w:rsid w:val="6EB61018"/>
    <w:rsid w:val="736242D1"/>
    <w:rsid w:val="7F8B077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微软雅黑"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semiHidden="0"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qFormat="1" w:uiPriority="99" w:semiHidden="0"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qFormat="1" w:uiPriority="99" w:semiHidden="0"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adjustRightInd w:val="0"/>
      <w:snapToGrid w:val="0"/>
      <w:spacing w:after="200"/>
    </w:pPr>
    <w:rPr>
      <w:rFonts w:ascii="Tahoma" w:hAnsi="Tahoma" w:eastAsia="微软雅黑" w:cstheme="minorBidi"/>
      <w:sz w:val="22"/>
      <w:szCs w:val="22"/>
      <w:lang w:val="en-US" w:eastAsia="zh-CN" w:bidi="ar-SA"/>
    </w:rPr>
  </w:style>
  <w:style w:type="paragraph" w:styleId="2">
    <w:name w:val="heading 1"/>
    <w:basedOn w:val="1"/>
    <w:next w:val="1"/>
    <w:link w:val="15"/>
    <w:qFormat/>
    <w:uiPriority w:val="9"/>
    <w:pPr>
      <w:keepNext/>
      <w:keepLines/>
      <w:spacing w:after="0" w:line="400" w:lineRule="exact"/>
      <w:outlineLvl w:val="0"/>
    </w:pPr>
    <w:rPr>
      <w:rFonts w:eastAsiaTheme="majorEastAsia"/>
      <w:b/>
      <w:bCs/>
      <w:kern w:val="44"/>
      <w:sz w:val="28"/>
      <w:szCs w:val="44"/>
    </w:rPr>
  </w:style>
  <w:style w:type="paragraph" w:styleId="3">
    <w:name w:val="heading 2"/>
    <w:basedOn w:val="1"/>
    <w:next w:val="1"/>
    <w:link w:val="17"/>
    <w:unhideWhenUsed/>
    <w:qFormat/>
    <w:uiPriority w:val="9"/>
    <w:pPr>
      <w:keepNext/>
      <w:keepLines/>
      <w:spacing w:after="0" w:line="400" w:lineRule="exact"/>
      <w:outlineLvl w:val="1"/>
    </w:pPr>
    <w:rPr>
      <w:rFonts w:asciiTheme="majorHAnsi" w:hAnsiTheme="majorHAnsi" w:eastAsiaTheme="majorEastAsia" w:cstheme="majorBidi"/>
      <w:b/>
      <w:bCs/>
      <w:sz w:val="24"/>
      <w:szCs w:val="32"/>
    </w:rPr>
  </w:style>
  <w:style w:type="paragraph" w:styleId="4">
    <w:name w:val="heading 3"/>
    <w:basedOn w:val="1"/>
    <w:next w:val="1"/>
    <w:link w:val="18"/>
    <w:unhideWhenUsed/>
    <w:qFormat/>
    <w:uiPriority w:val="9"/>
    <w:pPr>
      <w:keepNext/>
      <w:keepLines/>
      <w:spacing w:after="0" w:line="400" w:lineRule="exact"/>
      <w:outlineLvl w:val="2"/>
    </w:pPr>
    <w:rPr>
      <w:rFonts w:eastAsiaTheme="minorEastAsia"/>
      <w:bCs/>
      <w:sz w:val="21"/>
      <w:szCs w:val="32"/>
    </w:rPr>
  </w:style>
  <w:style w:type="character" w:default="1" w:styleId="9">
    <w:name w:val="Default Paragraph Font"/>
    <w:unhideWhenUsed/>
    <w:qFormat/>
    <w:uiPriority w:val="1"/>
  </w:style>
  <w:style w:type="table" w:default="1" w:styleId="11">
    <w:name w:val="Normal Table"/>
    <w:unhideWhenUsed/>
    <w:qFormat/>
    <w:uiPriority w:val="99"/>
    <w:tblPr>
      <w:tblLayout w:type="fixed"/>
      <w:tblCellMar>
        <w:top w:w="0" w:type="dxa"/>
        <w:left w:w="108" w:type="dxa"/>
        <w:bottom w:w="0" w:type="dxa"/>
        <w:right w:w="108" w:type="dxa"/>
      </w:tblCellMar>
    </w:tblPr>
  </w:style>
  <w:style w:type="paragraph" w:styleId="5">
    <w:name w:val="Document Map"/>
    <w:basedOn w:val="1"/>
    <w:link w:val="16"/>
    <w:unhideWhenUsed/>
    <w:qFormat/>
    <w:uiPriority w:val="99"/>
    <w:rPr>
      <w:rFonts w:ascii="宋体" w:eastAsia="宋体"/>
      <w:sz w:val="18"/>
      <w:szCs w:val="18"/>
    </w:rPr>
  </w:style>
  <w:style w:type="paragraph" w:styleId="6">
    <w:name w:val="footer"/>
    <w:basedOn w:val="1"/>
    <w:link w:val="14"/>
    <w:unhideWhenUsed/>
    <w:qFormat/>
    <w:uiPriority w:val="99"/>
    <w:pPr>
      <w:tabs>
        <w:tab w:val="center" w:pos="4153"/>
        <w:tab w:val="right" w:pos="8306"/>
      </w:tabs>
    </w:pPr>
    <w:rPr>
      <w:sz w:val="18"/>
      <w:szCs w:val="18"/>
    </w:rPr>
  </w:style>
  <w:style w:type="paragraph" w:styleId="7">
    <w:name w:val="header"/>
    <w:basedOn w:val="1"/>
    <w:link w:val="13"/>
    <w:unhideWhenUsed/>
    <w:qFormat/>
    <w:uiPriority w:val="99"/>
    <w:pPr>
      <w:pBdr>
        <w:bottom w:val="single" w:color="auto" w:sz="6" w:space="1"/>
      </w:pBdr>
      <w:tabs>
        <w:tab w:val="center" w:pos="4153"/>
        <w:tab w:val="right" w:pos="8306"/>
      </w:tabs>
      <w:jc w:val="center"/>
    </w:pPr>
    <w:rPr>
      <w:sz w:val="18"/>
      <w:szCs w:val="18"/>
    </w:rPr>
  </w:style>
  <w:style w:type="paragraph" w:styleId="8">
    <w:name w:val="footnote text"/>
    <w:basedOn w:val="1"/>
    <w:link w:val="21"/>
    <w:unhideWhenUsed/>
    <w:uiPriority w:val="99"/>
    <w:rPr>
      <w:sz w:val="18"/>
      <w:szCs w:val="18"/>
    </w:rPr>
  </w:style>
  <w:style w:type="character" w:styleId="10">
    <w:name w:val="footnote reference"/>
    <w:basedOn w:val="9"/>
    <w:unhideWhenUsed/>
    <w:qFormat/>
    <w:uiPriority w:val="99"/>
    <w:rPr>
      <w:vertAlign w:val="superscript"/>
    </w:rPr>
  </w:style>
  <w:style w:type="table" w:styleId="12">
    <w:name w:val="Table Grid"/>
    <w:basedOn w:val="11"/>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style>
  <w:style w:type="character" w:customStyle="1" w:styleId="13">
    <w:name w:val="页眉 Char"/>
    <w:basedOn w:val="9"/>
    <w:link w:val="7"/>
    <w:semiHidden/>
    <w:qFormat/>
    <w:uiPriority w:val="99"/>
    <w:rPr>
      <w:rFonts w:ascii="Tahoma" w:hAnsi="Tahoma"/>
      <w:sz w:val="18"/>
      <w:szCs w:val="18"/>
    </w:rPr>
  </w:style>
  <w:style w:type="character" w:customStyle="1" w:styleId="14">
    <w:name w:val="页脚 Char"/>
    <w:basedOn w:val="9"/>
    <w:link w:val="6"/>
    <w:semiHidden/>
    <w:qFormat/>
    <w:uiPriority w:val="99"/>
    <w:rPr>
      <w:rFonts w:ascii="Tahoma" w:hAnsi="Tahoma"/>
      <w:sz w:val="18"/>
      <w:szCs w:val="18"/>
    </w:rPr>
  </w:style>
  <w:style w:type="character" w:customStyle="1" w:styleId="15">
    <w:name w:val="标题 1 Char"/>
    <w:basedOn w:val="9"/>
    <w:link w:val="2"/>
    <w:qFormat/>
    <w:uiPriority w:val="9"/>
    <w:rPr>
      <w:rFonts w:ascii="Tahoma" w:hAnsi="Tahoma" w:eastAsiaTheme="majorEastAsia" w:cstheme="minorBidi"/>
      <w:b/>
      <w:bCs/>
      <w:kern w:val="44"/>
      <w:sz w:val="28"/>
      <w:szCs w:val="44"/>
    </w:rPr>
  </w:style>
  <w:style w:type="character" w:customStyle="1" w:styleId="16">
    <w:name w:val="文档结构图 Char"/>
    <w:basedOn w:val="9"/>
    <w:link w:val="5"/>
    <w:semiHidden/>
    <w:qFormat/>
    <w:uiPriority w:val="99"/>
    <w:rPr>
      <w:rFonts w:ascii="宋体" w:hAnsi="Tahoma" w:eastAsia="宋体"/>
      <w:sz w:val="18"/>
      <w:szCs w:val="18"/>
    </w:rPr>
  </w:style>
  <w:style w:type="character" w:customStyle="1" w:styleId="17">
    <w:name w:val="标题 2 Char"/>
    <w:basedOn w:val="9"/>
    <w:link w:val="3"/>
    <w:qFormat/>
    <w:uiPriority w:val="9"/>
    <w:rPr>
      <w:rFonts w:asciiTheme="majorHAnsi" w:hAnsiTheme="majorHAnsi" w:eastAsiaTheme="majorEastAsia" w:cstheme="majorBidi"/>
      <w:b/>
      <w:bCs/>
      <w:sz w:val="24"/>
      <w:szCs w:val="32"/>
    </w:rPr>
  </w:style>
  <w:style w:type="character" w:customStyle="1" w:styleId="18">
    <w:name w:val="标题 3 Char"/>
    <w:basedOn w:val="9"/>
    <w:link w:val="4"/>
    <w:qFormat/>
    <w:uiPriority w:val="9"/>
    <w:rPr>
      <w:rFonts w:ascii="Tahoma" w:hAnsi="Tahoma" w:eastAsiaTheme="minorEastAsia" w:cstheme="minorBidi"/>
      <w:bCs/>
      <w:sz w:val="21"/>
      <w:szCs w:val="32"/>
    </w:rPr>
  </w:style>
  <w:style w:type="paragraph" w:customStyle="1" w:styleId="19">
    <w:name w:val="列出段落1"/>
    <w:basedOn w:val="1"/>
    <w:unhideWhenUsed/>
    <w:qFormat/>
    <w:uiPriority w:val="99"/>
    <w:pPr>
      <w:ind w:firstLine="420" w:firstLineChars="200"/>
    </w:pPr>
  </w:style>
  <w:style w:type="paragraph" w:customStyle="1" w:styleId="20">
    <w:name w:val="List Paragraph"/>
    <w:basedOn w:val="1"/>
    <w:unhideWhenUsed/>
    <w:uiPriority w:val="99"/>
    <w:pPr>
      <w:ind w:firstLine="420" w:firstLineChars="200"/>
    </w:pPr>
  </w:style>
  <w:style w:type="character" w:customStyle="1" w:styleId="21">
    <w:name w:val="脚注文本 Char"/>
    <w:basedOn w:val="9"/>
    <w:link w:val="8"/>
    <w:semiHidden/>
    <w:uiPriority w:val="99"/>
    <w:rPr>
      <w:rFonts w:ascii="Tahoma" w:hAnsi="Tahoma" w:cstheme="minorBidi"/>
      <w:sz w:val="18"/>
      <w:szCs w:val="18"/>
    </w:r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footer" Target="footer2.xml"/><Relationship Id="rId7" Type="http://schemas.openxmlformats.org/officeDocument/2006/relationships/footer" Target="footer1.xml"/><Relationship Id="rId6" Type="http://schemas.openxmlformats.org/officeDocument/2006/relationships/header" Target="header3.xml"/><Relationship Id="rId5" Type="http://schemas.openxmlformats.org/officeDocument/2006/relationships/header" Target="header2.xml"/><Relationship Id="rId4" Type="http://schemas.openxmlformats.org/officeDocument/2006/relationships/header" Target="header1.xml"/><Relationship Id="rId3" Type="http://schemas.openxmlformats.org/officeDocument/2006/relationships/footnotes" Target="footnotes.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2.xml"/><Relationship Id="rId11" Type="http://schemas.openxmlformats.org/officeDocument/2006/relationships/customXml" Target="../customXml/item1.xml"/><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6D0AFBC-2C2D-4F2D-98F1-F489467525A6}">
  <ds:schemaRefs/>
</ds:datastoreItem>
</file>

<file path=docProps/app.xml><?xml version="1.0" encoding="utf-8"?>
<Properties xmlns="http://schemas.openxmlformats.org/officeDocument/2006/extended-properties" xmlns:vt="http://schemas.openxmlformats.org/officeDocument/2006/docPropsVTypes">
  <Template>Normal.dotm</Template>
  <Company> </Company>
  <Pages>11</Pages>
  <Words>2184</Words>
  <Characters>12449</Characters>
  <Lines>103</Lines>
  <Paragraphs>29</Paragraphs>
  <ScaleCrop>false</ScaleCrop>
  <LinksUpToDate>false</LinksUpToDate>
  <CharactersWithSpaces>14604</CharactersWithSpaces>
  <Application>WPS Office_10.1.0.6874_F1E327BC-269C-435d-A152-05C5408002CA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2017-10-11T12:23:00Z</dcterms:created>
  <dc:creator>Rainbow</dc:creator>
  <cp:lastModifiedBy>rainbow</cp:lastModifiedBy>
  <dcterms:modified xsi:type="dcterms:W3CDTF">2017-10-16T02:39:08Z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2052-10.1.0.6874</vt:lpwstr>
  </property>
</Properties>
</file>